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60" w:rsidRPr="00394D95" w:rsidRDefault="00B47560" w:rsidP="00B47560">
      <w:pPr>
        <w:rPr>
          <w:u w:val="single"/>
        </w:rPr>
      </w:pPr>
      <w:r w:rsidRPr="00394D95">
        <w:rPr>
          <w:u w:val="single"/>
        </w:rPr>
        <w:t>2017-2018 Educator Effectiveness Data</w:t>
      </w:r>
    </w:p>
    <w:p w:rsidR="00B47560" w:rsidRPr="00394D95" w:rsidRDefault="00B47560" w:rsidP="00B47560">
      <w:pPr>
        <w:rPr>
          <w:u w:val="single"/>
        </w:rPr>
      </w:pPr>
    </w:p>
    <w:p w:rsidR="00B47560" w:rsidRDefault="00B47560" w:rsidP="00B47560">
      <w:r>
        <w:t>The Office of Socially Responsible Evaluation in Education (SREed) at the University of Wisconsin – Milwaukee (UWM) leveraged three data sources to provide Wisconsin I</w:t>
      </w:r>
      <w:r w:rsidR="00491033">
        <w:t xml:space="preserve">nstitutes of </w:t>
      </w:r>
      <w:r>
        <w:t>H</w:t>
      </w:r>
      <w:r w:rsidR="00491033">
        <w:t xml:space="preserve">igher </w:t>
      </w:r>
      <w:r>
        <w:t>E</w:t>
      </w:r>
      <w:r w:rsidR="00491033">
        <w:t>ducation</w:t>
      </w:r>
      <w:r>
        <w:t xml:space="preserve"> </w:t>
      </w:r>
      <w:r w:rsidR="00491033">
        <w:t xml:space="preserve">(IHE) </w:t>
      </w:r>
      <w:r>
        <w:t xml:space="preserve">with information about their recent education program graduates. These data </w:t>
      </w:r>
      <w:r w:rsidR="00491033">
        <w:t>a</w:t>
      </w:r>
      <w:r>
        <w:t>re used to document both teacher perceptions of the effectiveness of their IHE in preparing them to succeed in education</w:t>
      </w:r>
      <w:r w:rsidR="00491033">
        <w:t>,</w:t>
      </w:r>
      <w:r>
        <w:t xml:space="preserve"> and effectiveness ratings of teachers based on their local E</w:t>
      </w:r>
      <w:r w:rsidR="00F722CC">
        <w:t xml:space="preserve">ducator Effectiveness </w:t>
      </w:r>
      <w:r>
        <w:t xml:space="preserve">process (using Danielson and Stronge Models of evaluation). </w:t>
      </w:r>
    </w:p>
    <w:p w:rsidR="00B47560" w:rsidRDefault="00B47560" w:rsidP="00B47560"/>
    <w:p w:rsidR="00B47560" w:rsidRDefault="00B47560" w:rsidP="00B47560">
      <w:r>
        <w:t>Table 1 provides the number of novice teachers associated with their licensure levels and program. Tables 2-5 summarize data of novice teacher perceptions of their preparation program, evaluator ratings of novi</w:t>
      </w:r>
      <w:bookmarkStart w:id="0" w:name="_GoBack"/>
      <w:bookmarkEnd w:id="0"/>
      <w:r>
        <w:t xml:space="preserve">ce teachers on the Framework for Teaching, </w:t>
      </w:r>
      <w:r w:rsidR="00F722CC">
        <w:t xml:space="preserve">and </w:t>
      </w:r>
      <w:r>
        <w:t>evaluator ratings of novic</w:t>
      </w:r>
      <w:r w:rsidR="00F722CC">
        <w:t>e teachers on the Stronge Model</w:t>
      </w:r>
      <w:r>
        <w:t xml:space="preserve">. </w:t>
      </w:r>
    </w:p>
    <w:p w:rsidR="00B47560" w:rsidRDefault="00B47560" w:rsidP="00B47560"/>
    <w:p w:rsidR="00B47560" w:rsidRDefault="00B47560" w:rsidP="00B47560">
      <w:r>
        <w:t>Table 1. Number of teachers by licensure area and program</w:t>
      </w:r>
    </w:p>
    <w:p w:rsidR="00B47560" w:rsidRDefault="00B47560" w:rsidP="00B475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6"/>
        <w:gridCol w:w="3012"/>
        <w:gridCol w:w="3012"/>
      </w:tblGrid>
      <w:tr w:rsidR="00B47560" w:rsidTr="000F1679">
        <w:tc>
          <w:tcPr>
            <w:tcW w:w="3326" w:type="dxa"/>
            <w:shd w:val="clear" w:color="auto" w:fill="BFBFBF" w:themeFill="background1" w:themeFillShade="BF"/>
          </w:tcPr>
          <w:p w:rsidR="00B47560" w:rsidRPr="004D7EFE" w:rsidRDefault="00B47560" w:rsidP="000F1679">
            <w:pPr>
              <w:jc w:val="center"/>
              <w:rPr>
                <w:b/>
              </w:rPr>
            </w:pPr>
            <w:r w:rsidRPr="004D7EFE">
              <w:rPr>
                <w:b/>
              </w:rPr>
              <w:t>Licensure</w:t>
            </w:r>
          </w:p>
        </w:tc>
        <w:tc>
          <w:tcPr>
            <w:tcW w:w="3012" w:type="dxa"/>
            <w:shd w:val="clear" w:color="auto" w:fill="BFBFBF" w:themeFill="background1" w:themeFillShade="BF"/>
          </w:tcPr>
          <w:p w:rsidR="00B47560" w:rsidRPr="004D7EFE" w:rsidRDefault="00B47560" w:rsidP="000F1679">
            <w:pPr>
              <w:jc w:val="center"/>
              <w:rPr>
                <w:b/>
              </w:rPr>
            </w:pPr>
            <w:r w:rsidRPr="004D7EFE">
              <w:rPr>
                <w:b/>
              </w:rPr>
              <w:t>Program</w:t>
            </w:r>
          </w:p>
        </w:tc>
        <w:tc>
          <w:tcPr>
            <w:tcW w:w="3012" w:type="dxa"/>
            <w:shd w:val="clear" w:color="auto" w:fill="BFBFBF" w:themeFill="background1" w:themeFillShade="BF"/>
          </w:tcPr>
          <w:p w:rsidR="00B47560" w:rsidRPr="004D7EFE" w:rsidRDefault="00B47560" w:rsidP="000F1679">
            <w:pPr>
              <w:jc w:val="center"/>
              <w:rPr>
                <w:b/>
              </w:rPr>
            </w:pPr>
            <w:r w:rsidRPr="004D7EFE">
              <w:rPr>
                <w:b/>
              </w:rPr>
              <w:t>Number of teachers</w:t>
            </w:r>
          </w:p>
        </w:tc>
      </w:tr>
      <w:tr w:rsidR="00B47560" w:rsidTr="000F1679">
        <w:tc>
          <w:tcPr>
            <w:tcW w:w="3326" w:type="dxa"/>
          </w:tcPr>
          <w:p w:rsidR="00B47560" w:rsidRDefault="00B47560" w:rsidP="000F1679">
            <w:r>
              <w:t xml:space="preserve">Early Adolescence-Adolescence </w:t>
            </w:r>
          </w:p>
        </w:tc>
        <w:tc>
          <w:tcPr>
            <w:tcW w:w="3012" w:type="dxa"/>
          </w:tcPr>
          <w:p w:rsidR="00B47560" w:rsidRDefault="00B47560" w:rsidP="000F1679">
            <w:r>
              <w:t>English</w:t>
            </w:r>
          </w:p>
        </w:tc>
        <w:tc>
          <w:tcPr>
            <w:tcW w:w="3012" w:type="dxa"/>
          </w:tcPr>
          <w:p w:rsidR="00B47560" w:rsidRDefault="00B47560" w:rsidP="000F1679">
            <w:pPr>
              <w:jc w:val="center"/>
            </w:pPr>
            <w:r>
              <w:t>9</w:t>
            </w:r>
          </w:p>
        </w:tc>
      </w:tr>
      <w:tr w:rsidR="00B47560" w:rsidTr="000F1679">
        <w:tc>
          <w:tcPr>
            <w:tcW w:w="3326" w:type="dxa"/>
          </w:tcPr>
          <w:p w:rsidR="00B47560" w:rsidRDefault="00B47560" w:rsidP="000F1679"/>
        </w:tc>
        <w:tc>
          <w:tcPr>
            <w:tcW w:w="3012" w:type="dxa"/>
          </w:tcPr>
          <w:p w:rsidR="00B47560" w:rsidRDefault="00B47560" w:rsidP="000F1679">
            <w:r>
              <w:t>Mathematics</w:t>
            </w:r>
          </w:p>
        </w:tc>
        <w:tc>
          <w:tcPr>
            <w:tcW w:w="3012" w:type="dxa"/>
          </w:tcPr>
          <w:p w:rsidR="00B47560" w:rsidRDefault="00B47560" w:rsidP="000F1679">
            <w:pPr>
              <w:jc w:val="center"/>
            </w:pPr>
            <w:r>
              <w:t>9</w:t>
            </w:r>
          </w:p>
        </w:tc>
      </w:tr>
      <w:tr w:rsidR="00B47560" w:rsidTr="000F1679">
        <w:tc>
          <w:tcPr>
            <w:tcW w:w="3326" w:type="dxa"/>
          </w:tcPr>
          <w:p w:rsidR="00B47560" w:rsidRDefault="00B47560" w:rsidP="000F1679"/>
        </w:tc>
        <w:tc>
          <w:tcPr>
            <w:tcW w:w="3012" w:type="dxa"/>
          </w:tcPr>
          <w:p w:rsidR="00B47560" w:rsidRDefault="00B47560" w:rsidP="000F1679">
            <w:r>
              <w:t>Social Studies</w:t>
            </w:r>
          </w:p>
        </w:tc>
        <w:tc>
          <w:tcPr>
            <w:tcW w:w="3012" w:type="dxa"/>
          </w:tcPr>
          <w:p w:rsidR="00B47560" w:rsidRDefault="00B47560" w:rsidP="000F1679">
            <w:pPr>
              <w:jc w:val="center"/>
            </w:pPr>
            <w:r>
              <w:t>5</w:t>
            </w:r>
          </w:p>
        </w:tc>
      </w:tr>
      <w:tr w:rsidR="00B47560" w:rsidTr="000F1679">
        <w:tc>
          <w:tcPr>
            <w:tcW w:w="3326" w:type="dxa"/>
          </w:tcPr>
          <w:p w:rsidR="00B47560" w:rsidRDefault="00B47560" w:rsidP="000F1679"/>
        </w:tc>
        <w:tc>
          <w:tcPr>
            <w:tcW w:w="3012" w:type="dxa"/>
          </w:tcPr>
          <w:p w:rsidR="00B47560" w:rsidRDefault="00B47560" w:rsidP="000F1679">
            <w:r>
              <w:t>Science</w:t>
            </w:r>
          </w:p>
        </w:tc>
        <w:tc>
          <w:tcPr>
            <w:tcW w:w="3012" w:type="dxa"/>
          </w:tcPr>
          <w:p w:rsidR="00B47560" w:rsidRDefault="00B47560" w:rsidP="000F1679">
            <w:pPr>
              <w:jc w:val="center"/>
            </w:pPr>
            <w:r>
              <w:t>2</w:t>
            </w:r>
          </w:p>
        </w:tc>
      </w:tr>
      <w:tr w:rsidR="00B47560" w:rsidTr="000F1679">
        <w:tc>
          <w:tcPr>
            <w:tcW w:w="3326" w:type="dxa"/>
            <w:tcBorders>
              <w:bottom w:val="single" w:sz="4" w:space="0" w:color="auto"/>
            </w:tcBorders>
          </w:tcPr>
          <w:p w:rsidR="00B47560" w:rsidRDefault="00B47560" w:rsidP="000F1679"/>
        </w:tc>
        <w:tc>
          <w:tcPr>
            <w:tcW w:w="3012" w:type="dxa"/>
            <w:tcBorders>
              <w:bottom w:val="single" w:sz="4" w:space="0" w:color="auto"/>
            </w:tcBorders>
          </w:tcPr>
          <w:p w:rsidR="00B47560" w:rsidRDefault="00B47560" w:rsidP="000F1679">
            <w:r>
              <w:t>English as a Second Language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B47560" w:rsidRDefault="00B47560" w:rsidP="000F1679">
            <w:pPr>
              <w:jc w:val="center"/>
            </w:pPr>
            <w:r>
              <w:t>1</w:t>
            </w:r>
          </w:p>
        </w:tc>
      </w:tr>
      <w:tr w:rsidR="00B47560" w:rsidTr="000F1679">
        <w:trPr>
          <w:trHeight w:val="143"/>
        </w:trPr>
        <w:tc>
          <w:tcPr>
            <w:tcW w:w="3326" w:type="dxa"/>
            <w:tcBorders>
              <w:left w:val="nil"/>
              <w:right w:val="nil"/>
            </w:tcBorders>
          </w:tcPr>
          <w:p w:rsidR="00B47560" w:rsidRDefault="00B47560" w:rsidP="000F1679"/>
        </w:tc>
        <w:tc>
          <w:tcPr>
            <w:tcW w:w="3012" w:type="dxa"/>
            <w:tcBorders>
              <w:left w:val="nil"/>
              <w:right w:val="nil"/>
            </w:tcBorders>
          </w:tcPr>
          <w:p w:rsidR="00B47560" w:rsidRPr="00FA0AEC" w:rsidRDefault="00B47560" w:rsidP="000F1679">
            <w:pPr>
              <w:rPr>
                <w:sz w:val="16"/>
                <w:szCs w:val="16"/>
              </w:rPr>
            </w:pPr>
          </w:p>
        </w:tc>
        <w:tc>
          <w:tcPr>
            <w:tcW w:w="3012" w:type="dxa"/>
            <w:tcBorders>
              <w:left w:val="nil"/>
              <w:right w:val="nil"/>
            </w:tcBorders>
          </w:tcPr>
          <w:p w:rsidR="00B47560" w:rsidRDefault="00B47560" w:rsidP="000F1679">
            <w:pPr>
              <w:jc w:val="center"/>
            </w:pPr>
          </w:p>
        </w:tc>
      </w:tr>
      <w:tr w:rsidR="00B47560" w:rsidTr="000F1679">
        <w:tc>
          <w:tcPr>
            <w:tcW w:w="3326" w:type="dxa"/>
            <w:tcBorders>
              <w:bottom w:val="single" w:sz="4" w:space="0" w:color="auto"/>
            </w:tcBorders>
          </w:tcPr>
          <w:p w:rsidR="00B47560" w:rsidRDefault="00B47560" w:rsidP="000F1679">
            <w:r>
              <w:t>Early Childhood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B47560" w:rsidRDefault="00B47560" w:rsidP="000F1679">
            <w:r>
              <w:t>Regular/special education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B47560" w:rsidRDefault="00B47560" w:rsidP="000F1679">
            <w:pPr>
              <w:jc w:val="center"/>
            </w:pPr>
            <w:r>
              <w:t>12</w:t>
            </w:r>
          </w:p>
        </w:tc>
      </w:tr>
      <w:tr w:rsidR="00B47560" w:rsidTr="000F1679">
        <w:tc>
          <w:tcPr>
            <w:tcW w:w="3326" w:type="dxa"/>
            <w:tcBorders>
              <w:left w:val="nil"/>
              <w:right w:val="nil"/>
            </w:tcBorders>
          </w:tcPr>
          <w:p w:rsidR="00B47560" w:rsidRDefault="00B47560" w:rsidP="000F1679"/>
        </w:tc>
        <w:tc>
          <w:tcPr>
            <w:tcW w:w="3012" w:type="dxa"/>
            <w:tcBorders>
              <w:left w:val="nil"/>
              <w:right w:val="nil"/>
            </w:tcBorders>
          </w:tcPr>
          <w:p w:rsidR="00B47560" w:rsidRDefault="00B47560" w:rsidP="000F1679"/>
        </w:tc>
        <w:tc>
          <w:tcPr>
            <w:tcW w:w="3012" w:type="dxa"/>
            <w:tcBorders>
              <w:left w:val="nil"/>
              <w:right w:val="nil"/>
            </w:tcBorders>
          </w:tcPr>
          <w:p w:rsidR="00B47560" w:rsidRDefault="00B47560" w:rsidP="000F1679">
            <w:pPr>
              <w:jc w:val="center"/>
            </w:pPr>
          </w:p>
        </w:tc>
      </w:tr>
      <w:tr w:rsidR="00B47560" w:rsidTr="000F1679">
        <w:tc>
          <w:tcPr>
            <w:tcW w:w="3326" w:type="dxa"/>
          </w:tcPr>
          <w:p w:rsidR="00B47560" w:rsidRDefault="00B47560" w:rsidP="000F1679">
            <w:r>
              <w:t xml:space="preserve">Early Childhood-Adolescence </w:t>
            </w:r>
          </w:p>
        </w:tc>
        <w:tc>
          <w:tcPr>
            <w:tcW w:w="3012" w:type="dxa"/>
          </w:tcPr>
          <w:p w:rsidR="00B47560" w:rsidRDefault="00B47560" w:rsidP="000F1679">
            <w:r>
              <w:t>Music</w:t>
            </w:r>
          </w:p>
        </w:tc>
        <w:tc>
          <w:tcPr>
            <w:tcW w:w="3012" w:type="dxa"/>
          </w:tcPr>
          <w:p w:rsidR="00B47560" w:rsidRDefault="00B47560" w:rsidP="000F1679">
            <w:pPr>
              <w:jc w:val="center"/>
            </w:pPr>
            <w:r>
              <w:t>10</w:t>
            </w:r>
          </w:p>
        </w:tc>
      </w:tr>
      <w:tr w:rsidR="00B47560" w:rsidTr="000F1679">
        <w:tc>
          <w:tcPr>
            <w:tcW w:w="3326" w:type="dxa"/>
          </w:tcPr>
          <w:p w:rsidR="00B47560" w:rsidRDefault="00B47560" w:rsidP="000F1679"/>
        </w:tc>
        <w:tc>
          <w:tcPr>
            <w:tcW w:w="3012" w:type="dxa"/>
          </w:tcPr>
          <w:p w:rsidR="00B47560" w:rsidRDefault="00B47560" w:rsidP="000F1679">
            <w:r>
              <w:t>Physical Education</w:t>
            </w:r>
          </w:p>
        </w:tc>
        <w:tc>
          <w:tcPr>
            <w:tcW w:w="3012" w:type="dxa"/>
          </w:tcPr>
          <w:p w:rsidR="00B47560" w:rsidRDefault="00B47560" w:rsidP="000F1679">
            <w:pPr>
              <w:jc w:val="center"/>
            </w:pPr>
            <w:r>
              <w:t>8</w:t>
            </w:r>
          </w:p>
        </w:tc>
      </w:tr>
      <w:tr w:rsidR="00B47560" w:rsidTr="000F1679">
        <w:tc>
          <w:tcPr>
            <w:tcW w:w="3326" w:type="dxa"/>
          </w:tcPr>
          <w:p w:rsidR="00B47560" w:rsidRDefault="00B47560" w:rsidP="000F1679"/>
        </w:tc>
        <w:tc>
          <w:tcPr>
            <w:tcW w:w="3012" w:type="dxa"/>
          </w:tcPr>
          <w:p w:rsidR="00B47560" w:rsidRDefault="00B47560" w:rsidP="000F1679">
            <w:r>
              <w:t>Business Education</w:t>
            </w:r>
          </w:p>
        </w:tc>
        <w:tc>
          <w:tcPr>
            <w:tcW w:w="3012" w:type="dxa"/>
          </w:tcPr>
          <w:p w:rsidR="00B47560" w:rsidRDefault="00B47560" w:rsidP="000F1679">
            <w:pPr>
              <w:jc w:val="center"/>
            </w:pPr>
            <w:r>
              <w:t>7</w:t>
            </w:r>
          </w:p>
        </w:tc>
      </w:tr>
      <w:tr w:rsidR="00B47560" w:rsidTr="000F1679">
        <w:tc>
          <w:tcPr>
            <w:tcW w:w="3326" w:type="dxa"/>
          </w:tcPr>
          <w:p w:rsidR="00B47560" w:rsidRDefault="00B47560" w:rsidP="000F1679"/>
        </w:tc>
        <w:tc>
          <w:tcPr>
            <w:tcW w:w="3012" w:type="dxa"/>
          </w:tcPr>
          <w:p w:rsidR="00B47560" w:rsidRDefault="00B47560" w:rsidP="000F1679">
            <w:r>
              <w:t>Adapted Physical Education</w:t>
            </w:r>
          </w:p>
        </w:tc>
        <w:tc>
          <w:tcPr>
            <w:tcW w:w="3012" w:type="dxa"/>
          </w:tcPr>
          <w:p w:rsidR="00B47560" w:rsidRDefault="00B47560" w:rsidP="000F1679">
            <w:pPr>
              <w:jc w:val="center"/>
            </w:pPr>
            <w:r>
              <w:t>4</w:t>
            </w:r>
          </w:p>
        </w:tc>
      </w:tr>
      <w:tr w:rsidR="00B47560" w:rsidTr="000F1679">
        <w:tc>
          <w:tcPr>
            <w:tcW w:w="3326" w:type="dxa"/>
          </w:tcPr>
          <w:p w:rsidR="00B47560" w:rsidRDefault="00B47560" w:rsidP="000F1679"/>
        </w:tc>
        <w:tc>
          <w:tcPr>
            <w:tcW w:w="3012" w:type="dxa"/>
          </w:tcPr>
          <w:p w:rsidR="00B47560" w:rsidRDefault="00B47560" w:rsidP="000F1679">
            <w:r>
              <w:t>Art</w:t>
            </w:r>
          </w:p>
        </w:tc>
        <w:tc>
          <w:tcPr>
            <w:tcW w:w="3012" w:type="dxa"/>
          </w:tcPr>
          <w:p w:rsidR="00B47560" w:rsidRDefault="00B47560" w:rsidP="000F1679">
            <w:pPr>
              <w:jc w:val="center"/>
            </w:pPr>
            <w:r>
              <w:t>2</w:t>
            </w:r>
          </w:p>
        </w:tc>
      </w:tr>
      <w:tr w:rsidR="00B47560" w:rsidTr="000F1679">
        <w:tc>
          <w:tcPr>
            <w:tcW w:w="3326" w:type="dxa"/>
          </w:tcPr>
          <w:p w:rsidR="00B47560" w:rsidRDefault="00B47560" w:rsidP="000F1679"/>
        </w:tc>
        <w:tc>
          <w:tcPr>
            <w:tcW w:w="3012" w:type="dxa"/>
          </w:tcPr>
          <w:p w:rsidR="00B47560" w:rsidRDefault="00B47560" w:rsidP="000F1679">
            <w:r>
              <w:t>Coaching</w:t>
            </w:r>
          </w:p>
        </w:tc>
        <w:tc>
          <w:tcPr>
            <w:tcW w:w="3012" w:type="dxa"/>
          </w:tcPr>
          <w:p w:rsidR="00B47560" w:rsidRDefault="00B47560" w:rsidP="000F1679">
            <w:pPr>
              <w:jc w:val="center"/>
            </w:pPr>
            <w:r>
              <w:t>2</w:t>
            </w:r>
          </w:p>
        </w:tc>
      </w:tr>
      <w:tr w:rsidR="00B47560" w:rsidTr="000F1679">
        <w:tc>
          <w:tcPr>
            <w:tcW w:w="3326" w:type="dxa"/>
          </w:tcPr>
          <w:p w:rsidR="00B47560" w:rsidRDefault="00B47560" w:rsidP="000F1679"/>
        </w:tc>
        <w:tc>
          <w:tcPr>
            <w:tcW w:w="3012" w:type="dxa"/>
          </w:tcPr>
          <w:p w:rsidR="00B47560" w:rsidRDefault="00B47560" w:rsidP="000F1679">
            <w:r>
              <w:t xml:space="preserve">Spanish </w:t>
            </w:r>
          </w:p>
        </w:tc>
        <w:tc>
          <w:tcPr>
            <w:tcW w:w="3012" w:type="dxa"/>
          </w:tcPr>
          <w:p w:rsidR="00B47560" w:rsidRDefault="00B47560" w:rsidP="000F1679">
            <w:pPr>
              <w:jc w:val="center"/>
            </w:pPr>
            <w:r>
              <w:t>1</w:t>
            </w:r>
          </w:p>
        </w:tc>
      </w:tr>
      <w:tr w:rsidR="00B47560" w:rsidTr="000F1679">
        <w:tc>
          <w:tcPr>
            <w:tcW w:w="3326" w:type="dxa"/>
            <w:tcBorders>
              <w:bottom w:val="single" w:sz="4" w:space="0" w:color="auto"/>
            </w:tcBorders>
          </w:tcPr>
          <w:p w:rsidR="00B47560" w:rsidRDefault="00B47560" w:rsidP="000F1679"/>
        </w:tc>
        <w:tc>
          <w:tcPr>
            <w:tcW w:w="3012" w:type="dxa"/>
            <w:tcBorders>
              <w:bottom w:val="single" w:sz="4" w:space="0" w:color="auto"/>
            </w:tcBorders>
          </w:tcPr>
          <w:p w:rsidR="00B47560" w:rsidRDefault="00B47560" w:rsidP="000F1679">
            <w:r>
              <w:t xml:space="preserve">Theater 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B47560" w:rsidRDefault="00B47560" w:rsidP="000F1679">
            <w:pPr>
              <w:jc w:val="center"/>
            </w:pPr>
            <w:r>
              <w:t>2</w:t>
            </w:r>
          </w:p>
        </w:tc>
      </w:tr>
      <w:tr w:rsidR="00B47560" w:rsidTr="000F1679">
        <w:tc>
          <w:tcPr>
            <w:tcW w:w="3326" w:type="dxa"/>
            <w:tcBorders>
              <w:left w:val="nil"/>
              <w:right w:val="nil"/>
            </w:tcBorders>
          </w:tcPr>
          <w:p w:rsidR="00B47560" w:rsidRDefault="00B47560" w:rsidP="000F1679"/>
        </w:tc>
        <w:tc>
          <w:tcPr>
            <w:tcW w:w="3012" w:type="dxa"/>
            <w:tcBorders>
              <w:left w:val="nil"/>
              <w:right w:val="nil"/>
            </w:tcBorders>
          </w:tcPr>
          <w:p w:rsidR="00B47560" w:rsidRDefault="00B47560" w:rsidP="000F1679"/>
        </w:tc>
        <w:tc>
          <w:tcPr>
            <w:tcW w:w="3012" w:type="dxa"/>
            <w:tcBorders>
              <w:left w:val="nil"/>
              <w:right w:val="nil"/>
            </w:tcBorders>
          </w:tcPr>
          <w:p w:rsidR="00B47560" w:rsidRDefault="00B47560" w:rsidP="000F1679">
            <w:pPr>
              <w:jc w:val="center"/>
            </w:pPr>
          </w:p>
        </w:tc>
      </w:tr>
      <w:tr w:rsidR="00B47560" w:rsidTr="000F1679">
        <w:tc>
          <w:tcPr>
            <w:tcW w:w="3326" w:type="dxa"/>
            <w:tcBorders>
              <w:bottom w:val="single" w:sz="4" w:space="0" w:color="auto"/>
            </w:tcBorders>
          </w:tcPr>
          <w:p w:rsidR="00B47560" w:rsidRDefault="00B47560" w:rsidP="000F1679">
            <w:r>
              <w:t>Special Education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B47560" w:rsidRDefault="00B47560" w:rsidP="000F1679">
            <w:r>
              <w:t xml:space="preserve">Special Education 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B47560" w:rsidRDefault="00B47560" w:rsidP="000F1679">
            <w:pPr>
              <w:jc w:val="center"/>
            </w:pPr>
            <w:r>
              <w:t>36</w:t>
            </w:r>
          </w:p>
        </w:tc>
      </w:tr>
      <w:tr w:rsidR="00B47560" w:rsidTr="000F1679">
        <w:tc>
          <w:tcPr>
            <w:tcW w:w="3326" w:type="dxa"/>
            <w:tcBorders>
              <w:left w:val="nil"/>
              <w:right w:val="nil"/>
            </w:tcBorders>
          </w:tcPr>
          <w:p w:rsidR="00B47560" w:rsidRDefault="00B47560" w:rsidP="000F1679"/>
        </w:tc>
        <w:tc>
          <w:tcPr>
            <w:tcW w:w="3012" w:type="dxa"/>
            <w:tcBorders>
              <w:left w:val="nil"/>
              <w:right w:val="nil"/>
            </w:tcBorders>
          </w:tcPr>
          <w:p w:rsidR="00B47560" w:rsidRDefault="00B47560" w:rsidP="000F1679"/>
        </w:tc>
        <w:tc>
          <w:tcPr>
            <w:tcW w:w="3012" w:type="dxa"/>
            <w:tcBorders>
              <w:left w:val="nil"/>
              <w:right w:val="nil"/>
            </w:tcBorders>
          </w:tcPr>
          <w:p w:rsidR="00B47560" w:rsidRDefault="00B47560" w:rsidP="000F1679">
            <w:pPr>
              <w:jc w:val="center"/>
            </w:pPr>
          </w:p>
        </w:tc>
      </w:tr>
      <w:tr w:rsidR="00B47560" w:rsidTr="000F1679">
        <w:tc>
          <w:tcPr>
            <w:tcW w:w="3326" w:type="dxa"/>
          </w:tcPr>
          <w:p w:rsidR="00B47560" w:rsidRDefault="00B47560" w:rsidP="000F1679">
            <w:r>
              <w:t>MCEA</w:t>
            </w:r>
          </w:p>
        </w:tc>
        <w:tc>
          <w:tcPr>
            <w:tcW w:w="3012" w:type="dxa"/>
          </w:tcPr>
          <w:p w:rsidR="00B47560" w:rsidRDefault="00B47560" w:rsidP="000F1679">
            <w:r>
              <w:t>Elementary education</w:t>
            </w:r>
          </w:p>
        </w:tc>
        <w:tc>
          <w:tcPr>
            <w:tcW w:w="3012" w:type="dxa"/>
          </w:tcPr>
          <w:p w:rsidR="00B47560" w:rsidRDefault="00B47560" w:rsidP="000F1679">
            <w:pPr>
              <w:jc w:val="center"/>
            </w:pPr>
            <w:r>
              <w:t>43</w:t>
            </w:r>
          </w:p>
        </w:tc>
      </w:tr>
    </w:tbl>
    <w:p w:rsidR="00B47560" w:rsidRDefault="00B47560" w:rsidP="00B47560"/>
    <w:p w:rsidR="00B47560" w:rsidRDefault="00B47560" w:rsidP="00B47560">
      <w:r w:rsidRPr="00FA0AEC">
        <w:rPr>
          <w:u w:val="single"/>
        </w:rPr>
        <w:t>Summary</w:t>
      </w:r>
      <w:r>
        <w:t>.</w:t>
      </w:r>
    </w:p>
    <w:p w:rsidR="00B47560" w:rsidRDefault="00B47560" w:rsidP="00B47560">
      <w:r>
        <w:t>The report provided by SREed includes 153 novice teachers who completed one of our licensure programs. During 2017-18, there were 251 successful teacher candidates. This data represents roughly 56% of program completers in COEPS.</w:t>
      </w:r>
    </w:p>
    <w:p w:rsidR="00B47560" w:rsidRDefault="00B47560" w:rsidP="00B47560"/>
    <w:p w:rsidR="00F722CC" w:rsidRDefault="00F722CC" w:rsidP="00B47560"/>
    <w:p w:rsidR="00B47560" w:rsidRDefault="00B47560" w:rsidP="00B47560"/>
    <w:p w:rsidR="00B47560" w:rsidRDefault="00B47560" w:rsidP="00B47560"/>
    <w:p w:rsidR="00B47560" w:rsidRDefault="00B47560" w:rsidP="00B47560"/>
    <w:p w:rsidR="00B47560" w:rsidRDefault="00B47560" w:rsidP="00B47560">
      <w:r>
        <w:lastRenderedPageBreak/>
        <w:t>Table 2. Novice Teachers ratings on Perception of Teacher Preparation (n=63)</w:t>
      </w:r>
    </w:p>
    <w:p w:rsidR="00B47560" w:rsidRDefault="00B47560" w:rsidP="00B47560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602"/>
        <w:gridCol w:w="953"/>
        <w:gridCol w:w="809"/>
        <w:gridCol w:w="993"/>
        <w:gridCol w:w="1088"/>
      </w:tblGrid>
      <w:tr w:rsidR="00B47560" w:rsidTr="000F1679">
        <w:tc>
          <w:tcPr>
            <w:tcW w:w="5602" w:type="dxa"/>
            <w:shd w:val="clear" w:color="auto" w:fill="A6A6A6" w:themeFill="background1" w:themeFillShade="A6"/>
          </w:tcPr>
          <w:p w:rsidR="00B47560" w:rsidRDefault="00B47560" w:rsidP="000F1679">
            <w:pPr>
              <w:ind w:firstLine="720"/>
            </w:pPr>
          </w:p>
        </w:tc>
        <w:tc>
          <w:tcPr>
            <w:tcW w:w="953" w:type="dxa"/>
            <w:vAlign w:val="center"/>
          </w:tcPr>
          <w:p w:rsidR="00B47560" w:rsidRDefault="00B47560" w:rsidP="000F1679">
            <w:pPr>
              <w:jc w:val="center"/>
            </w:pPr>
            <w:r>
              <w:t>Strongly</w:t>
            </w:r>
          </w:p>
          <w:p w:rsidR="00B47560" w:rsidRDefault="00B47560" w:rsidP="000F1679">
            <w:pPr>
              <w:jc w:val="center"/>
            </w:pPr>
            <w:r>
              <w:t>Agree</w:t>
            </w:r>
          </w:p>
        </w:tc>
        <w:tc>
          <w:tcPr>
            <w:tcW w:w="809" w:type="dxa"/>
            <w:vAlign w:val="center"/>
          </w:tcPr>
          <w:p w:rsidR="00B47560" w:rsidRDefault="00B47560" w:rsidP="000F1679">
            <w:pPr>
              <w:jc w:val="center"/>
            </w:pPr>
            <w:r>
              <w:t>Agree</w:t>
            </w:r>
          </w:p>
        </w:tc>
        <w:tc>
          <w:tcPr>
            <w:tcW w:w="993" w:type="dxa"/>
            <w:vAlign w:val="center"/>
          </w:tcPr>
          <w:p w:rsidR="00B47560" w:rsidRDefault="00B47560" w:rsidP="000F1679">
            <w:pPr>
              <w:jc w:val="center"/>
            </w:pPr>
            <w:r>
              <w:t>Disagree</w:t>
            </w:r>
          </w:p>
        </w:tc>
        <w:tc>
          <w:tcPr>
            <w:tcW w:w="1088" w:type="dxa"/>
            <w:vAlign w:val="center"/>
          </w:tcPr>
          <w:p w:rsidR="00B47560" w:rsidRDefault="00B47560" w:rsidP="000F1679">
            <w:pPr>
              <w:jc w:val="center"/>
            </w:pPr>
            <w:r>
              <w:t>Strongly</w:t>
            </w:r>
          </w:p>
          <w:p w:rsidR="00B47560" w:rsidRDefault="00B47560" w:rsidP="000F1679">
            <w:pPr>
              <w:jc w:val="center"/>
            </w:pPr>
            <w:r>
              <w:t>Disagree</w:t>
            </w:r>
          </w:p>
        </w:tc>
      </w:tr>
      <w:tr w:rsidR="00B47560" w:rsidTr="000F1679">
        <w:tc>
          <w:tcPr>
            <w:tcW w:w="5602" w:type="dxa"/>
          </w:tcPr>
          <w:p w:rsidR="00B47560" w:rsidRDefault="00B47560" w:rsidP="000F1679">
            <w:r>
              <w:t>My educator preparation program prepared me to succeed as a teacher this year.</w:t>
            </w:r>
          </w:p>
        </w:tc>
        <w:tc>
          <w:tcPr>
            <w:tcW w:w="953" w:type="dxa"/>
            <w:vAlign w:val="center"/>
          </w:tcPr>
          <w:p w:rsidR="00B47560" w:rsidRDefault="00B47560" w:rsidP="000F1679">
            <w:pPr>
              <w:jc w:val="center"/>
            </w:pPr>
            <w:r>
              <w:t>27%</w:t>
            </w:r>
          </w:p>
        </w:tc>
        <w:tc>
          <w:tcPr>
            <w:tcW w:w="809" w:type="dxa"/>
            <w:vAlign w:val="center"/>
          </w:tcPr>
          <w:p w:rsidR="00B47560" w:rsidRDefault="00B47560" w:rsidP="000F1679">
            <w:pPr>
              <w:jc w:val="center"/>
            </w:pPr>
            <w:r>
              <w:t>52%</w:t>
            </w:r>
          </w:p>
        </w:tc>
        <w:tc>
          <w:tcPr>
            <w:tcW w:w="993" w:type="dxa"/>
            <w:vAlign w:val="center"/>
          </w:tcPr>
          <w:p w:rsidR="00B47560" w:rsidRDefault="00B47560" w:rsidP="000F1679">
            <w:pPr>
              <w:jc w:val="center"/>
            </w:pPr>
            <w:r>
              <w:t>18%</w:t>
            </w:r>
          </w:p>
        </w:tc>
        <w:tc>
          <w:tcPr>
            <w:tcW w:w="1088" w:type="dxa"/>
            <w:vAlign w:val="center"/>
          </w:tcPr>
          <w:p w:rsidR="00B47560" w:rsidRDefault="00B47560" w:rsidP="000F1679">
            <w:pPr>
              <w:jc w:val="center"/>
            </w:pPr>
            <w:r>
              <w:t>3%</w:t>
            </w:r>
          </w:p>
        </w:tc>
      </w:tr>
      <w:tr w:rsidR="00B47560" w:rsidTr="000F1679">
        <w:tc>
          <w:tcPr>
            <w:tcW w:w="5602" w:type="dxa"/>
          </w:tcPr>
          <w:p w:rsidR="00B47560" w:rsidRDefault="00B47560" w:rsidP="000F1679">
            <w:r>
              <w:t>My educator preparation program prepared me use Student Learning Objectives to assess the progress of my students this year.</w:t>
            </w:r>
          </w:p>
        </w:tc>
        <w:tc>
          <w:tcPr>
            <w:tcW w:w="953" w:type="dxa"/>
            <w:vAlign w:val="center"/>
          </w:tcPr>
          <w:p w:rsidR="00B47560" w:rsidRDefault="00B47560" w:rsidP="000F1679">
            <w:pPr>
              <w:jc w:val="center"/>
            </w:pPr>
            <w:r>
              <w:t>17%</w:t>
            </w:r>
          </w:p>
        </w:tc>
        <w:tc>
          <w:tcPr>
            <w:tcW w:w="809" w:type="dxa"/>
            <w:vAlign w:val="center"/>
          </w:tcPr>
          <w:p w:rsidR="00B47560" w:rsidRDefault="00B47560" w:rsidP="000F1679">
            <w:pPr>
              <w:jc w:val="center"/>
            </w:pPr>
            <w:r>
              <w:t>48%</w:t>
            </w:r>
          </w:p>
        </w:tc>
        <w:tc>
          <w:tcPr>
            <w:tcW w:w="993" w:type="dxa"/>
            <w:vAlign w:val="center"/>
          </w:tcPr>
          <w:p w:rsidR="00B47560" w:rsidRDefault="00B47560" w:rsidP="000F1679">
            <w:pPr>
              <w:jc w:val="center"/>
            </w:pPr>
            <w:r>
              <w:t>29%</w:t>
            </w:r>
          </w:p>
        </w:tc>
        <w:tc>
          <w:tcPr>
            <w:tcW w:w="1088" w:type="dxa"/>
            <w:vAlign w:val="center"/>
          </w:tcPr>
          <w:p w:rsidR="00B47560" w:rsidRDefault="00B47560" w:rsidP="000F1679">
            <w:pPr>
              <w:jc w:val="center"/>
            </w:pPr>
            <w:r>
              <w:t>6%</w:t>
            </w:r>
          </w:p>
        </w:tc>
      </w:tr>
      <w:tr w:rsidR="00B47560" w:rsidTr="000F1679">
        <w:tc>
          <w:tcPr>
            <w:tcW w:w="5602" w:type="dxa"/>
          </w:tcPr>
          <w:p w:rsidR="00B47560" w:rsidRDefault="00B47560" w:rsidP="000F1679">
            <w:r>
              <w:t>I am better at Planning and Preparation tasks because of my educator preparation program.</w:t>
            </w:r>
          </w:p>
        </w:tc>
        <w:tc>
          <w:tcPr>
            <w:tcW w:w="953" w:type="dxa"/>
            <w:vAlign w:val="center"/>
          </w:tcPr>
          <w:p w:rsidR="00B47560" w:rsidRDefault="00B47560" w:rsidP="000F1679">
            <w:pPr>
              <w:jc w:val="center"/>
            </w:pPr>
            <w:r>
              <w:t>27%</w:t>
            </w:r>
          </w:p>
        </w:tc>
        <w:tc>
          <w:tcPr>
            <w:tcW w:w="809" w:type="dxa"/>
            <w:vAlign w:val="center"/>
          </w:tcPr>
          <w:p w:rsidR="00B47560" w:rsidRDefault="00B47560" w:rsidP="000F1679">
            <w:pPr>
              <w:jc w:val="center"/>
            </w:pPr>
            <w:r>
              <w:t>51%</w:t>
            </w:r>
          </w:p>
        </w:tc>
        <w:tc>
          <w:tcPr>
            <w:tcW w:w="993" w:type="dxa"/>
            <w:vAlign w:val="center"/>
          </w:tcPr>
          <w:p w:rsidR="00B47560" w:rsidRDefault="00B47560" w:rsidP="000F1679">
            <w:pPr>
              <w:jc w:val="center"/>
            </w:pPr>
            <w:r>
              <w:t>20%</w:t>
            </w:r>
          </w:p>
        </w:tc>
        <w:tc>
          <w:tcPr>
            <w:tcW w:w="1088" w:type="dxa"/>
            <w:vAlign w:val="center"/>
          </w:tcPr>
          <w:p w:rsidR="00B47560" w:rsidRDefault="00B47560" w:rsidP="000F1679">
            <w:pPr>
              <w:jc w:val="center"/>
            </w:pPr>
            <w:r>
              <w:t>2%</w:t>
            </w:r>
          </w:p>
        </w:tc>
      </w:tr>
      <w:tr w:rsidR="00B47560" w:rsidTr="000F1679">
        <w:tc>
          <w:tcPr>
            <w:tcW w:w="5602" w:type="dxa"/>
          </w:tcPr>
          <w:p w:rsidR="00B47560" w:rsidRDefault="00B47560" w:rsidP="000F1679">
            <w:r>
              <w:t>I am better at establishing a Classroom Environment that promotes learning because of my educator preparation program.</w:t>
            </w:r>
          </w:p>
        </w:tc>
        <w:tc>
          <w:tcPr>
            <w:tcW w:w="953" w:type="dxa"/>
            <w:vAlign w:val="center"/>
          </w:tcPr>
          <w:p w:rsidR="00B47560" w:rsidRDefault="00B47560" w:rsidP="000F1679">
            <w:pPr>
              <w:jc w:val="center"/>
            </w:pPr>
            <w:r>
              <w:t>29%</w:t>
            </w:r>
          </w:p>
        </w:tc>
        <w:tc>
          <w:tcPr>
            <w:tcW w:w="809" w:type="dxa"/>
            <w:vAlign w:val="center"/>
          </w:tcPr>
          <w:p w:rsidR="00B47560" w:rsidRDefault="00B47560" w:rsidP="000F1679">
            <w:pPr>
              <w:jc w:val="center"/>
            </w:pPr>
            <w:r>
              <w:t>46%</w:t>
            </w:r>
          </w:p>
        </w:tc>
        <w:tc>
          <w:tcPr>
            <w:tcW w:w="993" w:type="dxa"/>
            <w:vAlign w:val="center"/>
          </w:tcPr>
          <w:p w:rsidR="00B47560" w:rsidRDefault="00B47560" w:rsidP="000F1679">
            <w:pPr>
              <w:jc w:val="center"/>
            </w:pPr>
            <w:r>
              <w:t>23%</w:t>
            </w:r>
          </w:p>
        </w:tc>
        <w:tc>
          <w:tcPr>
            <w:tcW w:w="1088" w:type="dxa"/>
            <w:vAlign w:val="center"/>
          </w:tcPr>
          <w:p w:rsidR="00B47560" w:rsidRDefault="00B47560" w:rsidP="000F1679">
            <w:pPr>
              <w:jc w:val="center"/>
            </w:pPr>
            <w:r>
              <w:t>2%</w:t>
            </w:r>
          </w:p>
        </w:tc>
      </w:tr>
      <w:tr w:rsidR="00B47560" w:rsidTr="000F1679">
        <w:tc>
          <w:tcPr>
            <w:tcW w:w="5602" w:type="dxa"/>
          </w:tcPr>
          <w:p w:rsidR="00B47560" w:rsidRDefault="00B47560" w:rsidP="000F1679">
            <w:r>
              <w:t>My Instructional Practices are more effective because of my educator preparation program.</w:t>
            </w:r>
          </w:p>
        </w:tc>
        <w:tc>
          <w:tcPr>
            <w:tcW w:w="953" w:type="dxa"/>
            <w:vAlign w:val="center"/>
          </w:tcPr>
          <w:p w:rsidR="00B47560" w:rsidRDefault="00B47560" w:rsidP="000F1679">
            <w:pPr>
              <w:jc w:val="center"/>
            </w:pPr>
            <w:r>
              <w:t>27%</w:t>
            </w:r>
          </w:p>
        </w:tc>
        <w:tc>
          <w:tcPr>
            <w:tcW w:w="809" w:type="dxa"/>
            <w:vAlign w:val="center"/>
          </w:tcPr>
          <w:p w:rsidR="00B47560" w:rsidRDefault="00B47560" w:rsidP="000F1679">
            <w:pPr>
              <w:jc w:val="center"/>
            </w:pPr>
            <w:r>
              <w:t>57%</w:t>
            </w:r>
          </w:p>
        </w:tc>
        <w:tc>
          <w:tcPr>
            <w:tcW w:w="993" w:type="dxa"/>
            <w:vAlign w:val="center"/>
          </w:tcPr>
          <w:p w:rsidR="00B47560" w:rsidRDefault="00B47560" w:rsidP="000F1679">
            <w:pPr>
              <w:jc w:val="center"/>
            </w:pPr>
            <w:r>
              <w:t>16%</w:t>
            </w:r>
          </w:p>
        </w:tc>
        <w:tc>
          <w:tcPr>
            <w:tcW w:w="1088" w:type="dxa"/>
            <w:vAlign w:val="center"/>
          </w:tcPr>
          <w:p w:rsidR="00B47560" w:rsidRDefault="00B47560" w:rsidP="000F1679">
            <w:pPr>
              <w:jc w:val="center"/>
            </w:pPr>
            <w:r>
              <w:t>0%</w:t>
            </w:r>
          </w:p>
        </w:tc>
      </w:tr>
      <w:tr w:rsidR="00B47560" w:rsidTr="000F1679">
        <w:tc>
          <w:tcPr>
            <w:tcW w:w="5602" w:type="dxa"/>
          </w:tcPr>
          <w:p w:rsidR="00B47560" w:rsidRDefault="00B47560" w:rsidP="000F1679">
            <w:r>
              <w:t>I am better at engaging in Professional Responsibility tasks because of my educator preparation program (reflecting on my teaching, collaborating with parents and other teachers, maintaining records, etc.).</w:t>
            </w:r>
          </w:p>
        </w:tc>
        <w:tc>
          <w:tcPr>
            <w:tcW w:w="953" w:type="dxa"/>
            <w:vAlign w:val="center"/>
          </w:tcPr>
          <w:p w:rsidR="00B47560" w:rsidRDefault="00B47560" w:rsidP="000F1679">
            <w:pPr>
              <w:jc w:val="center"/>
            </w:pPr>
            <w:r>
              <w:t>22%</w:t>
            </w:r>
          </w:p>
        </w:tc>
        <w:tc>
          <w:tcPr>
            <w:tcW w:w="809" w:type="dxa"/>
            <w:vAlign w:val="center"/>
          </w:tcPr>
          <w:p w:rsidR="00B47560" w:rsidRDefault="00B47560" w:rsidP="000F1679">
            <w:pPr>
              <w:jc w:val="center"/>
            </w:pPr>
            <w:r>
              <w:t>59%</w:t>
            </w:r>
          </w:p>
        </w:tc>
        <w:tc>
          <w:tcPr>
            <w:tcW w:w="993" w:type="dxa"/>
            <w:vAlign w:val="center"/>
          </w:tcPr>
          <w:p w:rsidR="00B47560" w:rsidRDefault="00B47560" w:rsidP="000F1679">
            <w:pPr>
              <w:jc w:val="center"/>
            </w:pPr>
            <w:r>
              <w:t>19%</w:t>
            </w:r>
          </w:p>
        </w:tc>
        <w:tc>
          <w:tcPr>
            <w:tcW w:w="1088" w:type="dxa"/>
            <w:vAlign w:val="center"/>
          </w:tcPr>
          <w:p w:rsidR="00B47560" w:rsidRDefault="00B47560" w:rsidP="000F1679">
            <w:pPr>
              <w:jc w:val="center"/>
            </w:pPr>
            <w:r>
              <w:t>0%</w:t>
            </w:r>
          </w:p>
        </w:tc>
      </w:tr>
      <w:tr w:rsidR="00B47560" w:rsidTr="000F1679">
        <w:tc>
          <w:tcPr>
            <w:tcW w:w="5602" w:type="dxa"/>
          </w:tcPr>
          <w:p w:rsidR="00B47560" w:rsidRDefault="00B47560" w:rsidP="000F1679">
            <w:r>
              <w:t>The experiences during my preparation program helped me become more effective at connecting and building relationships with students.</w:t>
            </w:r>
          </w:p>
        </w:tc>
        <w:tc>
          <w:tcPr>
            <w:tcW w:w="953" w:type="dxa"/>
            <w:vAlign w:val="center"/>
          </w:tcPr>
          <w:p w:rsidR="00B47560" w:rsidRDefault="00B47560" w:rsidP="000F1679">
            <w:pPr>
              <w:jc w:val="center"/>
            </w:pPr>
            <w:r>
              <w:t>29%</w:t>
            </w:r>
          </w:p>
        </w:tc>
        <w:tc>
          <w:tcPr>
            <w:tcW w:w="809" w:type="dxa"/>
            <w:vAlign w:val="center"/>
          </w:tcPr>
          <w:p w:rsidR="00B47560" w:rsidRDefault="00B47560" w:rsidP="000F1679">
            <w:pPr>
              <w:jc w:val="center"/>
            </w:pPr>
            <w:r>
              <w:t>51%</w:t>
            </w:r>
          </w:p>
        </w:tc>
        <w:tc>
          <w:tcPr>
            <w:tcW w:w="993" w:type="dxa"/>
            <w:vAlign w:val="center"/>
          </w:tcPr>
          <w:p w:rsidR="00B47560" w:rsidRDefault="00B47560" w:rsidP="000F1679">
            <w:pPr>
              <w:jc w:val="center"/>
            </w:pPr>
            <w:r>
              <w:t>20%</w:t>
            </w:r>
          </w:p>
        </w:tc>
        <w:tc>
          <w:tcPr>
            <w:tcW w:w="1088" w:type="dxa"/>
            <w:vAlign w:val="center"/>
          </w:tcPr>
          <w:p w:rsidR="00B47560" w:rsidRDefault="00B47560" w:rsidP="000F1679">
            <w:pPr>
              <w:jc w:val="center"/>
            </w:pPr>
            <w:r>
              <w:t>0%</w:t>
            </w:r>
          </w:p>
        </w:tc>
      </w:tr>
      <w:tr w:rsidR="00B47560" w:rsidTr="000F1679">
        <w:tc>
          <w:tcPr>
            <w:tcW w:w="5602" w:type="dxa"/>
          </w:tcPr>
          <w:p w:rsidR="00B47560" w:rsidRDefault="00B47560" w:rsidP="000F1679">
            <w:r>
              <w:t>My student teaching placement helped prepare me to meet the challenges in my current school.</w:t>
            </w:r>
          </w:p>
        </w:tc>
        <w:tc>
          <w:tcPr>
            <w:tcW w:w="953" w:type="dxa"/>
            <w:vAlign w:val="center"/>
          </w:tcPr>
          <w:p w:rsidR="00B47560" w:rsidRDefault="00B47560" w:rsidP="000F1679">
            <w:pPr>
              <w:jc w:val="center"/>
            </w:pPr>
            <w:r>
              <w:t>44%</w:t>
            </w:r>
          </w:p>
        </w:tc>
        <w:tc>
          <w:tcPr>
            <w:tcW w:w="809" w:type="dxa"/>
            <w:vAlign w:val="center"/>
          </w:tcPr>
          <w:p w:rsidR="00B47560" w:rsidRDefault="00B47560" w:rsidP="000F1679">
            <w:pPr>
              <w:jc w:val="center"/>
            </w:pPr>
            <w:r>
              <w:t>40%</w:t>
            </w:r>
          </w:p>
        </w:tc>
        <w:tc>
          <w:tcPr>
            <w:tcW w:w="993" w:type="dxa"/>
            <w:vAlign w:val="center"/>
          </w:tcPr>
          <w:p w:rsidR="00B47560" w:rsidRDefault="00B47560" w:rsidP="000F1679">
            <w:pPr>
              <w:jc w:val="center"/>
            </w:pPr>
            <w:r>
              <w:t>13%</w:t>
            </w:r>
          </w:p>
        </w:tc>
        <w:tc>
          <w:tcPr>
            <w:tcW w:w="1088" w:type="dxa"/>
            <w:vAlign w:val="center"/>
          </w:tcPr>
          <w:p w:rsidR="00B47560" w:rsidRDefault="00B47560" w:rsidP="000F1679">
            <w:pPr>
              <w:jc w:val="center"/>
            </w:pPr>
            <w:r>
              <w:t>3%</w:t>
            </w:r>
          </w:p>
        </w:tc>
      </w:tr>
    </w:tbl>
    <w:p w:rsidR="00B47560" w:rsidRDefault="00B47560" w:rsidP="00B47560"/>
    <w:p w:rsidR="00B47560" w:rsidRDefault="00B47560" w:rsidP="00B47560">
      <w:r w:rsidRPr="00817C1D">
        <w:rPr>
          <w:u w:val="single"/>
        </w:rPr>
        <w:t>Summary</w:t>
      </w:r>
      <w:r>
        <w:t>.</w:t>
      </w:r>
    </w:p>
    <w:p w:rsidR="00C12A5A" w:rsidRDefault="00B47560" w:rsidP="00B47560">
      <w:r>
        <w:t>Overall, the novice teachers perceived their preparation program adequately prepared them to be successful in their first years teaching (79% strong agreed or agreed). The highest ratings of perceived skills were in instructional practices and preparation to meet challenges (84% strongly agreed or agreed), followed closely by engaging in professional responsibility and building relationships with students (81 and 80% strongly agreed or agreed, respectively). While overall ratings were favorable of their perceived preparation, the novice teachers gave lower ratings of perceived skills in two areas: prepared to use student learning objectives (35% disagreed or strongly disagreed), and establishing a classroom environment that promotes learning (25% disagreed or strongly disagreed).</w:t>
      </w:r>
    </w:p>
    <w:p w:rsidR="00B47560" w:rsidRDefault="00B47560" w:rsidP="00B47560"/>
    <w:p w:rsidR="00B47560" w:rsidRDefault="00B47560" w:rsidP="00B47560"/>
    <w:p w:rsidR="00B47560" w:rsidRDefault="00B47560" w:rsidP="00B47560"/>
    <w:p w:rsidR="00B47560" w:rsidRDefault="00B47560" w:rsidP="00B47560"/>
    <w:p w:rsidR="00B47560" w:rsidRDefault="00B47560" w:rsidP="00B47560"/>
    <w:p w:rsidR="00B47560" w:rsidRDefault="00B47560" w:rsidP="00B47560"/>
    <w:p w:rsidR="00B47560" w:rsidRDefault="00B47560" w:rsidP="00B47560"/>
    <w:p w:rsidR="00B47560" w:rsidRDefault="00B47560" w:rsidP="00B47560"/>
    <w:p w:rsidR="00B47560" w:rsidRDefault="00B47560" w:rsidP="00B47560"/>
    <w:p w:rsidR="00B47560" w:rsidRDefault="00B47560" w:rsidP="00B47560"/>
    <w:p w:rsidR="00B47560" w:rsidRDefault="00B47560" w:rsidP="00B47560"/>
    <w:p w:rsidR="00B47560" w:rsidRDefault="00B47560" w:rsidP="00B47560"/>
    <w:p w:rsidR="00B47560" w:rsidRDefault="00B47560" w:rsidP="00B47560">
      <w:pPr>
        <w:sectPr w:rsidR="00B47560" w:rsidSect="00874EC6">
          <w:headerReference w:type="default" r:id="rId6"/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B47560" w:rsidRDefault="00B47560" w:rsidP="00B47560">
      <w:r>
        <w:t>Table 3. Evaluators Ratings of Novice Teachers on Danielson Model (n= 71)</w:t>
      </w:r>
    </w:p>
    <w:p w:rsidR="00B47560" w:rsidRPr="00466B00" w:rsidRDefault="00B47560" w:rsidP="00B47560"/>
    <w:p w:rsidR="00B47560" w:rsidRDefault="00B47560" w:rsidP="00B47560">
      <w:pPr>
        <w:ind w:left="-360"/>
      </w:pPr>
      <w:r>
        <w:rPr>
          <w:noProof/>
        </w:rPr>
        <w:drawing>
          <wp:inline distT="0" distB="0" distL="0" distR="0" wp14:anchorId="61DCB307" wp14:editId="55ACB864">
            <wp:extent cx="8610600" cy="4294414"/>
            <wp:effectExtent l="0" t="0" r="0" b="114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7560" w:rsidRDefault="00B47560" w:rsidP="00B47560"/>
    <w:p w:rsidR="00B47560" w:rsidRDefault="00B47560" w:rsidP="00B47560">
      <w:r w:rsidRPr="00F722CC">
        <w:rPr>
          <w:u w:val="single"/>
        </w:rPr>
        <w:t>Summary</w:t>
      </w:r>
      <w:r>
        <w:t>.</w:t>
      </w:r>
    </w:p>
    <w:p w:rsidR="00B47560" w:rsidRDefault="00B47560" w:rsidP="00B47560">
      <w:pPr>
        <w:sectPr w:rsidR="00B47560" w:rsidSect="00EE23B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>Evaluators rated novice teachers on the Danielson Framework for Teaching components. Included in this sample are 71 novice teachers who completed a teacher preparation program at UW-Whitewater. Overall, evaluators rated novice teachers as proficient on all 23 competencies.</w:t>
      </w:r>
    </w:p>
    <w:p w:rsidR="00B47560" w:rsidRDefault="00B47560" w:rsidP="00B47560">
      <w:r w:rsidRPr="00F722CC">
        <w:rPr>
          <w:u w:val="single"/>
        </w:rPr>
        <w:t>Summary</w:t>
      </w:r>
      <w:r>
        <w:t>.</w:t>
      </w:r>
    </w:p>
    <w:p w:rsidR="00B47560" w:rsidRDefault="00B47560" w:rsidP="00B47560">
      <w:r>
        <w:t xml:space="preserve">Table 4. Evaluators Ratings of Novice Teachers on Strong Model Competencies </w:t>
      </w:r>
    </w:p>
    <w:p w:rsidR="00B47560" w:rsidRDefault="00B47560" w:rsidP="00B47560"/>
    <w:p w:rsidR="00B47560" w:rsidRDefault="00B47560" w:rsidP="00B47560">
      <w:r>
        <w:rPr>
          <w:noProof/>
        </w:rPr>
        <w:drawing>
          <wp:inline distT="0" distB="0" distL="0" distR="0" wp14:anchorId="2B4E996D" wp14:editId="733569B8">
            <wp:extent cx="6085114" cy="3439795"/>
            <wp:effectExtent l="0" t="0" r="1143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7560" w:rsidRDefault="00B47560" w:rsidP="00B47560"/>
    <w:p w:rsidR="00B47560" w:rsidRPr="002369B5" w:rsidRDefault="00B47560" w:rsidP="00B47560">
      <w:pPr>
        <w:rPr>
          <w:u w:val="single"/>
        </w:rPr>
      </w:pPr>
      <w:r w:rsidRPr="002369B5">
        <w:rPr>
          <w:u w:val="single"/>
        </w:rPr>
        <w:t>Summary.</w:t>
      </w:r>
    </w:p>
    <w:p w:rsidR="00B47560" w:rsidRPr="002369B5" w:rsidRDefault="00B47560" w:rsidP="00B47560">
      <w:r>
        <w:t>Evaluators rated novice teachers on six components associated with the Goals and Roles Performance Evaluation (Stronge Model). Included in this sample are 56 novice teachers who completed a teacher preparation program at UW-Whitewater. Overall, evaluators rated novice teachers as effective on all of the six competencies.</w:t>
      </w:r>
    </w:p>
    <w:p w:rsidR="00B47560" w:rsidRDefault="00B47560" w:rsidP="00B47560">
      <w:pPr>
        <w:ind w:left="-450"/>
      </w:pPr>
    </w:p>
    <w:sectPr w:rsidR="00B47560" w:rsidSect="00EE23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49" w:rsidRDefault="00D95A49" w:rsidP="00D95A49">
      <w:r>
        <w:separator/>
      </w:r>
    </w:p>
  </w:endnote>
  <w:endnote w:type="continuationSeparator" w:id="0">
    <w:p w:rsidR="00D95A49" w:rsidRDefault="00D95A49" w:rsidP="00D9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814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A49" w:rsidRDefault="00D95A49" w:rsidP="00D95A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0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5A49" w:rsidRDefault="00D95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49" w:rsidRDefault="00D95A49" w:rsidP="00D95A49">
      <w:r>
        <w:separator/>
      </w:r>
    </w:p>
  </w:footnote>
  <w:footnote w:type="continuationSeparator" w:id="0">
    <w:p w:rsidR="00D95A49" w:rsidRDefault="00D95A49" w:rsidP="00D9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49" w:rsidRDefault="00D95A49" w:rsidP="00D95A49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COEPS Data on Educator Effectiveness</w:t>
    </w:r>
  </w:p>
  <w:p w:rsidR="00D95A49" w:rsidRDefault="00D95A49" w:rsidP="00D95A49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Prepared December 2020</w:t>
    </w:r>
  </w:p>
  <w:p w:rsidR="00D95A49" w:rsidRPr="00D95A49" w:rsidRDefault="00D95A49" w:rsidP="00D95A49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60"/>
    <w:rsid w:val="00491033"/>
    <w:rsid w:val="0060294E"/>
    <w:rsid w:val="00874EC6"/>
    <w:rsid w:val="00B47560"/>
    <w:rsid w:val="00C12A5A"/>
    <w:rsid w:val="00D95A49"/>
    <w:rsid w:val="00F44F1E"/>
    <w:rsid w:val="00F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6644"/>
  <w15:chartTrackingRefBased/>
  <w15:docId w15:val="{CBE1ABDA-DCA3-498D-A38B-F6E99FFA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A49"/>
  </w:style>
  <w:style w:type="paragraph" w:styleId="Footer">
    <w:name w:val="footer"/>
    <w:basedOn w:val="Normal"/>
    <w:link w:val="FooterChar"/>
    <w:uiPriority w:val="99"/>
    <w:unhideWhenUsed/>
    <w:rsid w:val="00D95A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A49"/>
  </w:style>
  <w:style w:type="paragraph" w:styleId="BalloonText">
    <w:name w:val="Balloon Text"/>
    <w:basedOn w:val="Normal"/>
    <w:link w:val="BalloonTextChar"/>
    <w:uiPriority w:val="99"/>
    <w:semiHidden/>
    <w:unhideWhenUsed/>
    <w:rsid w:val="00874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d.uww.edu\SHARED\COEPS%20Asst%20Dean\Assessment\COPY%201718%20EE%20Data%2012.4.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d.uww.edu\SHARED\COEPS%20Asst%20Dean\Assessment\COPY%201718%20EE%20Data%2012.4.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'FfT eval ratings'!$A$87</c:f>
              <c:strCache>
                <c:ptCount val="1"/>
                <c:pt idx="0">
                  <c:v>Distinguished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'FfT eval ratings'!$B$86:$W$86</c:f>
              <c:strCache>
                <c:ptCount val="22"/>
                <c:pt idx="0">
                  <c:v>Component 1a: Content and Pedagogy</c:v>
                </c:pt>
                <c:pt idx="1">
                  <c:v>Component 1b: Knowledge of Students</c:v>
                </c:pt>
                <c:pt idx="2">
                  <c:v>Component 1c:  Instructional Outcomes</c:v>
                </c:pt>
                <c:pt idx="3">
                  <c:v>Component 1d: Knowledge of Resources</c:v>
                </c:pt>
                <c:pt idx="4">
                  <c:v>Component 1e: Coherent Instruction</c:v>
                </c:pt>
                <c:pt idx="5">
                  <c:v>Component 1f: Student Assessments</c:v>
                </c:pt>
                <c:pt idx="6">
                  <c:v>Component 2a:  Environment of Respect and Rapport</c:v>
                </c:pt>
                <c:pt idx="7">
                  <c:v>Component 2b: Culture for Learning</c:v>
                </c:pt>
                <c:pt idx="8">
                  <c:v>Component 2c:  Classroom Procedures</c:v>
                </c:pt>
                <c:pt idx="9">
                  <c:v>Component 2d: Student Behavior</c:v>
                </c:pt>
                <c:pt idx="10">
                  <c:v>Component 2e: Physical Space</c:v>
                </c:pt>
                <c:pt idx="11">
                  <c:v>Component 3a: Communicating with Students</c:v>
                </c:pt>
                <c:pt idx="12">
                  <c:v>Component 3b: Questioning and Discussion Techniques</c:v>
                </c:pt>
                <c:pt idx="13">
                  <c:v>Component 3c: Engaging Students in Learning</c:v>
                </c:pt>
                <c:pt idx="14">
                  <c:v>Component 3d:  Assessment in Instruction</c:v>
                </c:pt>
                <c:pt idx="15">
                  <c:v>Component 3e: Flexibility and Responsive</c:v>
                </c:pt>
                <c:pt idx="16">
                  <c:v>Component 4a: Reflecting on Teaching</c:v>
                </c:pt>
                <c:pt idx="17">
                  <c:v>Component 4b: Maintaining Accurate Records</c:v>
                </c:pt>
                <c:pt idx="18">
                  <c:v>Component 4c: Communicating with Families</c:v>
                </c:pt>
                <c:pt idx="19">
                  <c:v>Component 4d: Professional Community</c:v>
                </c:pt>
                <c:pt idx="20">
                  <c:v>Component 4e: Growing and Developing Professionally</c:v>
                </c:pt>
                <c:pt idx="21">
                  <c:v>Component 4f: Professionalism</c:v>
                </c:pt>
              </c:strCache>
            </c:strRef>
          </c:cat>
          <c:val>
            <c:numRef>
              <c:f>'FfT eval ratings'!$B$87:$W$87</c:f>
              <c:numCache>
                <c:formatCode>General</c:formatCode>
                <c:ptCount val="22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15</c:v>
                </c:pt>
                <c:pt idx="7">
                  <c:v>3</c:v>
                </c:pt>
                <c:pt idx="8">
                  <c:v>5</c:v>
                </c:pt>
                <c:pt idx="9">
                  <c:v>12</c:v>
                </c:pt>
                <c:pt idx="10">
                  <c:v>9</c:v>
                </c:pt>
                <c:pt idx="11">
                  <c:v>4</c:v>
                </c:pt>
                <c:pt idx="12">
                  <c:v>1</c:v>
                </c:pt>
                <c:pt idx="13">
                  <c:v>6</c:v>
                </c:pt>
                <c:pt idx="14">
                  <c:v>4</c:v>
                </c:pt>
                <c:pt idx="15">
                  <c:v>7</c:v>
                </c:pt>
                <c:pt idx="16">
                  <c:v>5</c:v>
                </c:pt>
                <c:pt idx="17">
                  <c:v>1</c:v>
                </c:pt>
                <c:pt idx="18">
                  <c:v>3</c:v>
                </c:pt>
                <c:pt idx="19">
                  <c:v>7</c:v>
                </c:pt>
                <c:pt idx="20">
                  <c:v>4</c:v>
                </c:pt>
                <c:pt idx="2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3-4947-B3F1-DD8483D91DAE}"/>
            </c:ext>
          </c:extLst>
        </c:ser>
        <c:ser>
          <c:idx val="1"/>
          <c:order val="1"/>
          <c:tx>
            <c:strRef>
              <c:f>'FfT eval ratings'!$A$88</c:f>
              <c:strCache>
                <c:ptCount val="1"/>
                <c:pt idx="0">
                  <c:v>Proficient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'FfT eval ratings'!$B$86:$W$86</c:f>
              <c:strCache>
                <c:ptCount val="22"/>
                <c:pt idx="0">
                  <c:v>Component 1a: Content and Pedagogy</c:v>
                </c:pt>
                <c:pt idx="1">
                  <c:v>Component 1b: Knowledge of Students</c:v>
                </c:pt>
                <c:pt idx="2">
                  <c:v>Component 1c:  Instructional Outcomes</c:v>
                </c:pt>
                <c:pt idx="3">
                  <c:v>Component 1d: Knowledge of Resources</c:v>
                </c:pt>
                <c:pt idx="4">
                  <c:v>Component 1e: Coherent Instruction</c:v>
                </c:pt>
                <c:pt idx="5">
                  <c:v>Component 1f: Student Assessments</c:v>
                </c:pt>
                <c:pt idx="6">
                  <c:v>Component 2a:  Environment of Respect and Rapport</c:v>
                </c:pt>
                <c:pt idx="7">
                  <c:v>Component 2b: Culture for Learning</c:v>
                </c:pt>
                <c:pt idx="8">
                  <c:v>Component 2c:  Classroom Procedures</c:v>
                </c:pt>
                <c:pt idx="9">
                  <c:v>Component 2d: Student Behavior</c:v>
                </c:pt>
                <c:pt idx="10">
                  <c:v>Component 2e: Physical Space</c:v>
                </c:pt>
                <c:pt idx="11">
                  <c:v>Component 3a: Communicating with Students</c:v>
                </c:pt>
                <c:pt idx="12">
                  <c:v>Component 3b: Questioning and Discussion Techniques</c:v>
                </c:pt>
                <c:pt idx="13">
                  <c:v>Component 3c: Engaging Students in Learning</c:v>
                </c:pt>
                <c:pt idx="14">
                  <c:v>Component 3d:  Assessment in Instruction</c:v>
                </c:pt>
                <c:pt idx="15">
                  <c:v>Component 3e: Flexibility and Responsive</c:v>
                </c:pt>
                <c:pt idx="16">
                  <c:v>Component 4a: Reflecting on Teaching</c:v>
                </c:pt>
                <c:pt idx="17">
                  <c:v>Component 4b: Maintaining Accurate Records</c:v>
                </c:pt>
                <c:pt idx="18">
                  <c:v>Component 4c: Communicating with Families</c:v>
                </c:pt>
                <c:pt idx="19">
                  <c:v>Component 4d: Professional Community</c:v>
                </c:pt>
                <c:pt idx="20">
                  <c:v>Component 4e: Growing and Developing Professionally</c:v>
                </c:pt>
                <c:pt idx="21">
                  <c:v>Component 4f: Professionalism</c:v>
                </c:pt>
              </c:strCache>
            </c:strRef>
          </c:cat>
          <c:val>
            <c:numRef>
              <c:f>'FfT eval ratings'!$B$88:$W$88</c:f>
              <c:numCache>
                <c:formatCode>General</c:formatCode>
                <c:ptCount val="22"/>
                <c:pt idx="0">
                  <c:v>60</c:v>
                </c:pt>
                <c:pt idx="1">
                  <c:v>58</c:v>
                </c:pt>
                <c:pt idx="2">
                  <c:v>60</c:v>
                </c:pt>
                <c:pt idx="3">
                  <c:v>57</c:v>
                </c:pt>
                <c:pt idx="4">
                  <c:v>58</c:v>
                </c:pt>
                <c:pt idx="5">
                  <c:v>52</c:v>
                </c:pt>
                <c:pt idx="6">
                  <c:v>47</c:v>
                </c:pt>
                <c:pt idx="7">
                  <c:v>58</c:v>
                </c:pt>
                <c:pt idx="8">
                  <c:v>57</c:v>
                </c:pt>
                <c:pt idx="9">
                  <c:v>44</c:v>
                </c:pt>
                <c:pt idx="10">
                  <c:v>59</c:v>
                </c:pt>
                <c:pt idx="11">
                  <c:v>59</c:v>
                </c:pt>
                <c:pt idx="12">
                  <c:v>48</c:v>
                </c:pt>
                <c:pt idx="13">
                  <c:v>53</c:v>
                </c:pt>
                <c:pt idx="14">
                  <c:v>51</c:v>
                </c:pt>
                <c:pt idx="15">
                  <c:v>56</c:v>
                </c:pt>
                <c:pt idx="16">
                  <c:v>55</c:v>
                </c:pt>
                <c:pt idx="17">
                  <c:v>64</c:v>
                </c:pt>
                <c:pt idx="18">
                  <c:v>52</c:v>
                </c:pt>
                <c:pt idx="19">
                  <c:v>55</c:v>
                </c:pt>
                <c:pt idx="20">
                  <c:v>58</c:v>
                </c:pt>
                <c:pt idx="2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13-4947-B3F1-DD8483D91DAE}"/>
            </c:ext>
          </c:extLst>
        </c:ser>
        <c:ser>
          <c:idx val="2"/>
          <c:order val="2"/>
          <c:tx>
            <c:strRef>
              <c:f>'FfT eval ratings'!$A$89</c:f>
              <c:strCache>
                <c:ptCount val="1"/>
                <c:pt idx="0">
                  <c:v>Basic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'FfT eval ratings'!$B$86:$W$86</c:f>
              <c:strCache>
                <c:ptCount val="22"/>
                <c:pt idx="0">
                  <c:v>Component 1a: Content and Pedagogy</c:v>
                </c:pt>
                <c:pt idx="1">
                  <c:v>Component 1b: Knowledge of Students</c:v>
                </c:pt>
                <c:pt idx="2">
                  <c:v>Component 1c:  Instructional Outcomes</c:v>
                </c:pt>
                <c:pt idx="3">
                  <c:v>Component 1d: Knowledge of Resources</c:v>
                </c:pt>
                <c:pt idx="4">
                  <c:v>Component 1e: Coherent Instruction</c:v>
                </c:pt>
                <c:pt idx="5">
                  <c:v>Component 1f: Student Assessments</c:v>
                </c:pt>
                <c:pt idx="6">
                  <c:v>Component 2a:  Environment of Respect and Rapport</c:v>
                </c:pt>
                <c:pt idx="7">
                  <c:v>Component 2b: Culture for Learning</c:v>
                </c:pt>
                <c:pt idx="8">
                  <c:v>Component 2c:  Classroom Procedures</c:v>
                </c:pt>
                <c:pt idx="9">
                  <c:v>Component 2d: Student Behavior</c:v>
                </c:pt>
                <c:pt idx="10">
                  <c:v>Component 2e: Physical Space</c:v>
                </c:pt>
                <c:pt idx="11">
                  <c:v>Component 3a: Communicating with Students</c:v>
                </c:pt>
                <c:pt idx="12">
                  <c:v>Component 3b: Questioning and Discussion Techniques</c:v>
                </c:pt>
                <c:pt idx="13">
                  <c:v>Component 3c: Engaging Students in Learning</c:v>
                </c:pt>
                <c:pt idx="14">
                  <c:v>Component 3d:  Assessment in Instruction</c:v>
                </c:pt>
                <c:pt idx="15">
                  <c:v>Component 3e: Flexibility and Responsive</c:v>
                </c:pt>
                <c:pt idx="16">
                  <c:v>Component 4a: Reflecting on Teaching</c:v>
                </c:pt>
                <c:pt idx="17">
                  <c:v>Component 4b: Maintaining Accurate Records</c:v>
                </c:pt>
                <c:pt idx="18">
                  <c:v>Component 4c: Communicating with Families</c:v>
                </c:pt>
                <c:pt idx="19">
                  <c:v>Component 4d: Professional Community</c:v>
                </c:pt>
                <c:pt idx="20">
                  <c:v>Component 4e: Growing and Developing Professionally</c:v>
                </c:pt>
                <c:pt idx="21">
                  <c:v>Component 4f: Professionalism</c:v>
                </c:pt>
              </c:strCache>
            </c:strRef>
          </c:cat>
          <c:val>
            <c:numRef>
              <c:f>'FfT eval ratings'!$B$89:$W$89</c:f>
              <c:numCache>
                <c:formatCode>General</c:formatCode>
                <c:ptCount val="22"/>
                <c:pt idx="0">
                  <c:v>10</c:v>
                </c:pt>
                <c:pt idx="1">
                  <c:v>7</c:v>
                </c:pt>
                <c:pt idx="2">
                  <c:v>10</c:v>
                </c:pt>
                <c:pt idx="3">
                  <c:v>13</c:v>
                </c:pt>
                <c:pt idx="4">
                  <c:v>10</c:v>
                </c:pt>
                <c:pt idx="5">
                  <c:v>17</c:v>
                </c:pt>
                <c:pt idx="6">
                  <c:v>9</c:v>
                </c:pt>
                <c:pt idx="7">
                  <c:v>10</c:v>
                </c:pt>
                <c:pt idx="8">
                  <c:v>9</c:v>
                </c:pt>
                <c:pt idx="9">
                  <c:v>14</c:v>
                </c:pt>
                <c:pt idx="10">
                  <c:v>3</c:v>
                </c:pt>
                <c:pt idx="11">
                  <c:v>8</c:v>
                </c:pt>
                <c:pt idx="12">
                  <c:v>20</c:v>
                </c:pt>
                <c:pt idx="13">
                  <c:v>12</c:v>
                </c:pt>
                <c:pt idx="14">
                  <c:v>16</c:v>
                </c:pt>
                <c:pt idx="15">
                  <c:v>8</c:v>
                </c:pt>
                <c:pt idx="16">
                  <c:v>11</c:v>
                </c:pt>
                <c:pt idx="17">
                  <c:v>6</c:v>
                </c:pt>
                <c:pt idx="18">
                  <c:v>16</c:v>
                </c:pt>
                <c:pt idx="19">
                  <c:v>9</c:v>
                </c:pt>
                <c:pt idx="20">
                  <c:v>9</c:v>
                </c:pt>
                <c:pt idx="2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13-4947-B3F1-DD8483D91DA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92401152"/>
        <c:axId val="592396560"/>
      </c:barChart>
      <c:catAx>
        <c:axId val="5924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2396560"/>
        <c:crosses val="autoZero"/>
        <c:auto val="1"/>
        <c:lblAlgn val="ctr"/>
        <c:lblOffset val="100"/>
        <c:noMultiLvlLbl val="0"/>
      </c:catAx>
      <c:valAx>
        <c:axId val="59239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240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'CESA 6 Model ratings'!$A$59</c:f>
              <c:strCache>
                <c:ptCount val="1"/>
                <c:pt idx="0">
                  <c:v>Distinguished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'CESA 6 Model ratings'!$B$58:$H$58</c:f>
              <c:strCache>
                <c:ptCount val="7"/>
                <c:pt idx="0">
                  <c:v>Professional Knowledge</c:v>
                </c:pt>
                <c:pt idx="1">
                  <c:v>Instructional Planning</c:v>
                </c:pt>
                <c:pt idx="2">
                  <c:v>Instructional Delivery</c:v>
                </c:pt>
                <c:pt idx="3">
                  <c:v>Assessment For and Of Learning</c:v>
                </c:pt>
                <c:pt idx="4">
                  <c:v>Learning Environment</c:v>
                </c:pt>
                <c:pt idx="5">
                  <c:v>Professionalism</c:v>
                </c:pt>
                <c:pt idx="6">
                  <c:v>Overall</c:v>
                </c:pt>
              </c:strCache>
            </c:strRef>
          </c:cat>
          <c:val>
            <c:numRef>
              <c:f>'CESA 6 Model ratings'!$B$59:$H$59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78-4AF9-AF55-B4BE03A65C95}"/>
            </c:ext>
          </c:extLst>
        </c:ser>
        <c:ser>
          <c:idx val="1"/>
          <c:order val="1"/>
          <c:tx>
            <c:strRef>
              <c:f>'CESA 6 Model ratings'!$A$60</c:f>
              <c:strCache>
                <c:ptCount val="1"/>
                <c:pt idx="0">
                  <c:v>Effective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'CESA 6 Model ratings'!$B$58:$H$58</c:f>
              <c:strCache>
                <c:ptCount val="7"/>
                <c:pt idx="0">
                  <c:v>Professional Knowledge</c:v>
                </c:pt>
                <c:pt idx="1">
                  <c:v>Instructional Planning</c:v>
                </c:pt>
                <c:pt idx="2">
                  <c:v>Instructional Delivery</c:v>
                </c:pt>
                <c:pt idx="3">
                  <c:v>Assessment For and Of Learning</c:v>
                </c:pt>
                <c:pt idx="4">
                  <c:v>Learning Environment</c:v>
                </c:pt>
                <c:pt idx="5">
                  <c:v>Professionalism</c:v>
                </c:pt>
                <c:pt idx="6">
                  <c:v>Overall</c:v>
                </c:pt>
              </c:strCache>
            </c:strRef>
          </c:cat>
          <c:val>
            <c:numRef>
              <c:f>'CESA 6 Model ratings'!$B$60:$H$60</c:f>
              <c:numCache>
                <c:formatCode>General</c:formatCode>
                <c:ptCount val="7"/>
                <c:pt idx="0">
                  <c:v>50</c:v>
                </c:pt>
                <c:pt idx="1">
                  <c:v>47</c:v>
                </c:pt>
                <c:pt idx="2">
                  <c:v>52</c:v>
                </c:pt>
                <c:pt idx="3">
                  <c:v>48</c:v>
                </c:pt>
                <c:pt idx="4">
                  <c:v>48</c:v>
                </c:pt>
                <c:pt idx="5">
                  <c:v>50</c:v>
                </c:pt>
                <c:pt idx="6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78-4AF9-AF55-B4BE03A65C95}"/>
            </c:ext>
          </c:extLst>
        </c:ser>
        <c:ser>
          <c:idx val="2"/>
          <c:order val="2"/>
          <c:tx>
            <c:strRef>
              <c:f>'CESA 6 Model ratings'!$A$61</c:f>
              <c:strCache>
                <c:ptCount val="1"/>
                <c:pt idx="0">
                  <c:v>Developing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'CESA 6 Model ratings'!$B$58:$H$58</c:f>
              <c:strCache>
                <c:ptCount val="7"/>
                <c:pt idx="0">
                  <c:v>Professional Knowledge</c:v>
                </c:pt>
                <c:pt idx="1">
                  <c:v>Instructional Planning</c:v>
                </c:pt>
                <c:pt idx="2">
                  <c:v>Instructional Delivery</c:v>
                </c:pt>
                <c:pt idx="3">
                  <c:v>Assessment For and Of Learning</c:v>
                </c:pt>
                <c:pt idx="4">
                  <c:v>Learning Environment</c:v>
                </c:pt>
                <c:pt idx="5">
                  <c:v>Professionalism</c:v>
                </c:pt>
                <c:pt idx="6">
                  <c:v>Overall</c:v>
                </c:pt>
              </c:strCache>
            </c:strRef>
          </c:cat>
          <c:val>
            <c:numRef>
              <c:f>'CESA 6 Model ratings'!$B$61:$H$61</c:f>
              <c:numCache>
                <c:formatCode>General</c:formatCode>
                <c:ptCount val="7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7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78-4AF9-AF55-B4BE03A65C95}"/>
            </c:ext>
          </c:extLst>
        </c:ser>
        <c:ser>
          <c:idx val="3"/>
          <c:order val="3"/>
          <c:tx>
            <c:strRef>
              <c:f>'CESA 6 Model ratings'!$A$62</c:f>
              <c:strCache>
                <c:ptCount val="1"/>
                <c:pt idx="0">
                  <c:v>Unacceptable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'CESA 6 Model ratings'!$B$58:$H$58</c:f>
              <c:strCache>
                <c:ptCount val="7"/>
                <c:pt idx="0">
                  <c:v>Professional Knowledge</c:v>
                </c:pt>
                <c:pt idx="1">
                  <c:v>Instructional Planning</c:v>
                </c:pt>
                <c:pt idx="2">
                  <c:v>Instructional Delivery</c:v>
                </c:pt>
                <c:pt idx="3">
                  <c:v>Assessment For and Of Learning</c:v>
                </c:pt>
                <c:pt idx="4">
                  <c:v>Learning Environment</c:v>
                </c:pt>
                <c:pt idx="5">
                  <c:v>Professionalism</c:v>
                </c:pt>
                <c:pt idx="6">
                  <c:v>Overall</c:v>
                </c:pt>
              </c:strCache>
            </c:strRef>
          </c:cat>
          <c:val>
            <c:numRef>
              <c:f>'CESA 6 Model ratings'!$B$62:$H$62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78-4AF9-AF55-B4BE03A65C9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49611896"/>
        <c:axId val="349609600"/>
      </c:barChart>
      <c:catAx>
        <c:axId val="349611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609600"/>
        <c:crosses val="autoZero"/>
        <c:auto val="1"/>
        <c:lblAlgn val="ctr"/>
        <c:lblOffset val="100"/>
        <c:noMultiLvlLbl val="0"/>
      </c:catAx>
      <c:valAx>
        <c:axId val="34960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611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Kathryn J</dc:creator>
  <cp:keywords/>
  <dc:description/>
  <cp:lastModifiedBy>Casey, Kathryn J</cp:lastModifiedBy>
  <cp:revision>6</cp:revision>
  <cp:lastPrinted>2019-12-09T18:56:00Z</cp:lastPrinted>
  <dcterms:created xsi:type="dcterms:W3CDTF">2019-12-09T18:48:00Z</dcterms:created>
  <dcterms:modified xsi:type="dcterms:W3CDTF">2020-03-03T16:04:00Z</dcterms:modified>
</cp:coreProperties>
</file>