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05D" w:rsidRDefault="0048005D" w:rsidP="0048005D">
      <w:bookmarkStart w:id="0" w:name="_GoBack"/>
      <w:bookmarkEnd w:id="0"/>
      <w:r w:rsidRPr="008B038A">
        <w:rPr>
          <w:b/>
        </w:rPr>
        <w:t>Description of evaluation:</w:t>
      </w:r>
      <w:r>
        <w:rPr>
          <w:b/>
        </w:rPr>
        <w:t xml:space="preserve"> </w:t>
      </w:r>
      <w:r w:rsidRPr="002A75AD">
        <w:t>The</w:t>
      </w:r>
      <w:r>
        <w:t xml:space="preserve"> COEPS designed the</w:t>
      </w:r>
      <w:r w:rsidRPr="002A75AD">
        <w:t xml:space="preserve"> </w:t>
      </w:r>
      <w:r>
        <w:t xml:space="preserve">InTASC evaluation of teacher candidates (TC) to determine their preparedness on the model core teaching standards and learning progressions created by the Interstate Teacher Assessment and Support Consortium (InTASC). The model core standards “outline what teachers should know and be able to do to ensure every PK-12 student reaches the goal of being ready to enter college or the workforce in today’s world. This ‘common core’ outlines the principles and foundations of teaching practice that cut across all subject areas and grade levels and that all teachers share (Council of Chief State School Officers, 2013).” The Wisconsin Department of Public Instruction requires teacher preparation programs to use the InTASC standards to guide their programs. </w:t>
      </w:r>
    </w:p>
    <w:p w:rsidR="0048005D" w:rsidRDefault="0048005D" w:rsidP="0048005D"/>
    <w:p w:rsidR="0048005D" w:rsidRDefault="0048005D" w:rsidP="0048005D">
      <w:pPr>
        <w:rPr>
          <w:b/>
        </w:rPr>
      </w:pPr>
      <w:r w:rsidRPr="0048005D">
        <w:rPr>
          <w:b/>
        </w:rPr>
        <w:t xml:space="preserve">Rating Scale: </w:t>
      </w:r>
    </w:p>
    <w:p w:rsidR="00266523" w:rsidRDefault="00266523" w:rsidP="00266523">
      <w:r>
        <w:t xml:space="preserve">Numerical values for responses: (1) Beginning, (2) Developing, (3) Effective, and (4) Highly Effective </w:t>
      </w:r>
    </w:p>
    <w:p w:rsidR="00266523" w:rsidRDefault="00266523" w:rsidP="00266523">
      <w:pPr>
        <w:pStyle w:val="ListParagraph"/>
        <w:numPr>
          <w:ilvl w:val="0"/>
          <w:numId w:val="1"/>
        </w:numPr>
      </w:pPr>
      <w:r>
        <w:t>Not Observed: did not observe the candidate to perform identified skill, will be counted but not rated on the numerical scale provided</w:t>
      </w:r>
    </w:p>
    <w:p w:rsidR="00266523" w:rsidRDefault="00266523" w:rsidP="00266523">
      <w:pPr>
        <w:pStyle w:val="ListParagraph"/>
        <w:numPr>
          <w:ilvl w:val="0"/>
          <w:numId w:val="1"/>
        </w:numPr>
      </w:pPr>
      <w:r>
        <w:t>Beginning: basic knowledge of concepts, requires constant supervision</w:t>
      </w:r>
    </w:p>
    <w:p w:rsidR="00266523" w:rsidRDefault="00266523" w:rsidP="00266523">
      <w:pPr>
        <w:pStyle w:val="ListParagraph"/>
        <w:numPr>
          <w:ilvl w:val="0"/>
          <w:numId w:val="1"/>
        </w:numPr>
      </w:pPr>
      <w:r>
        <w:t>Developing: attempts to implement strategies, requires regular supervision</w:t>
      </w:r>
    </w:p>
    <w:p w:rsidR="00266523" w:rsidRDefault="00266523" w:rsidP="00266523">
      <w:pPr>
        <w:pStyle w:val="ListParagraph"/>
        <w:numPr>
          <w:ilvl w:val="0"/>
          <w:numId w:val="1"/>
        </w:numPr>
      </w:pPr>
      <w:r>
        <w:t>Effective: implements appropriate strategies consistently, requires some supervision</w:t>
      </w:r>
    </w:p>
    <w:p w:rsidR="0048005D" w:rsidRDefault="00266523" w:rsidP="0048005D">
      <w:pPr>
        <w:pStyle w:val="ListParagraph"/>
        <w:numPr>
          <w:ilvl w:val="0"/>
          <w:numId w:val="1"/>
        </w:numPr>
      </w:pPr>
      <w:r>
        <w:t>Highly Effective: consistent and skillful use of appropriate strategies, does not require supervision</w:t>
      </w:r>
    </w:p>
    <w:p w:rsidR="0048005D" w:rsidRDefault="0048005D"/>
    <w:p w:rsidR="0048005D" w:rsidRDefault="0021743C">
      <w:r>
        <w:t xml:space="preserve">Table 1. </w:t>
      </w:r>
      <w:r w:rsidR="0079333F">
        <w:t>Fall 2019 pre-student t</w:t>
      </w:r>
      <w:r w:rsidR="0048005D">
        <w:t>eaching InTASC evaluation results</w:t>
      </w:r>
      <w:r w:rsidR="003961F6">
        <w:t xml:space="preserve"> (pilot involving 55</w:t>
      </w:r>
      <w:r w:rsidR="0048005D">
        <w:t xml:space="preserve"> candidates</w:t>
      </w:r>
      <w:r>
        <w:t xml:space="preserve"> from secondary programs</w:t>
      </w:r>
      <w:r w:rsidR="0048005D">
        <w:t>)</w:t>
      </w:r>
    </w:p>
    <w:p w:rsidR="0048005D" w:rsidRDefault="0048005D"/>
    <w:tbl>
      <w:tblPr>
        <w:tblStyle w:val="TableGrid"/>
        <w:tblW w:w="0" w:type="auto"/>
        <w:tblLook w:val="04A0" w:firstRow="1" w:lastRow="0" w:firstColumn="1" w:lastColumn="0" w:noHBand="0" w:noVBand="1"/>
      </w:tblPr>
      <w:tblGrid>
        <w:gridCol w:w="4675"/>
        <w:gridCol w:w="1350"/>
      </w:tblGrid>
      <w:tr w:rsidR="0048005D" w:rsidTr="0048005D">
        <w:tc>
          <w:tcPr>
            <w:tcW w:w="4675" w:type="dxa"/>
          </w:tcPr>
          <w:p w:rsidR="0048005D" w:rsidRPr="0048005D" w:rsidRDefault="0048005D" w:rsidP="0048005D">
            <w:pPr>
              <w:jc w:val="center"/>
              <w:rPr>
                <w:b/>
              </w:rPr>
            </w:pPr>
            <w:r w:rsidRPr="0048005D">
              <w:rPr>
                <w:b/>
              </w:rPr>
              <w:t>InTASC standard</w:t>
            </w:r>
          </w:p>
        </w:tc>
        <w:tc>
          <w:tcPr>
            <w:tcW w:w="1350" w:type="dxa"/>
          </w:tcPr>
          <w:p w:rsidR="0048005D" w:rsidRPr="0048005D" w:rsidRDefault="0048005D" w:rsidP="0048005D">
            <w:pPr>
              <w:jc w:val="center"/>
              <w:rPr>
                <w:b/>
              </w:rPr>
            </w:pPr>
            <w:r w:rsidRPr="0048005D">
              <w:rPr>
                <w:b/>
              </w:rPr>
              <w:t>Mean</w:t>
            </w:r>
          </w:p>
        </w:tc>
      </w:tr>
      <w:tr w:rsidR="0048005D" w:rsidTr="0048005D">
        <w:tc>
          <w:tcPr>
            <w:tcW w:w="4675" w:type="dxa"/>
          </w:tcPr>
          <w:p w:rsidR="0048005D" w:rsidRDefault="0048005D">
            <w:r>
              <w:t>1.</w:t>
            </w:r>
            <w:r w:rsidR="0021743C">
              <w:t xml:space="preserve"> Learner Development</w:t>
            </w:r>
          </w:p>
        </w:tc>
        <w:tc>
          <w:tcPr>
            <w:tcW w:w="1350" w:type="dxa"/>
          </w:tcPr>
          <w:p w:rsidR="0048005D" w:rsidRDefault="003961F6" w:rsidP="003961F6">
            <w:pPr>
              <w:jc w:val="center"/>
            </w:pPr>
            <w:r>
              <w:t>2.30</w:t>
            </w:r>
          </w:p>
        </w:tc>
      </w:tr>
      <w:tr w:rsidR="0048005D" w:rsidTr="0048005D">
        <w:tc>
          <w:tcPr>
            <w:tcW w:w="4675" w:type="dxa"/>
          </w:tcPr>
          <w:p w:rsidR="0048005D" w:rsidRDefault="0048005D">
            <w:r>
              <w:t>2.</w:t>
            </w:r>
            <w:r w:rsidR="0021743C">
              <w:t xml:space="preserve"> Learning Differences</w:t>
            </w:r>
          </w:p>
        </w:tc>
        <w:tc>
          <w:tcPr>
            <w:tcW w:w="1350" w:type="dxa"/>
          </w:tcPr>
          <w:p w:rsidR="0048005D" w:rsidRDefault="003961F6" w:rsidP="003961F6">
            <w:pPr>
              <w:jc w:val="center"/>
            </w:pPr>
            <w:r>
              <w:t>2.16</w:t>
            </w:r>
          </w:p>
        </w:tc>
      </w:tr>
      <w:tr w:rsidR="0048005D" w:rsidTr="0048005D">
        <w:tc>
          <w:tcPr>
            <w:tcW w:w="4675" w:type="dxa"/>
          </w:tcPr>
          <w:p w:rsidR="0048005D" w:rsidRDefault="0048005D">
            <w:r>
              <w:t>3.</w:t>
            </w:r>
            <w:r w:rsidR="0021743C">
              <w:t xml:space="preserve"> Learning Environments</w:t>
            </w:r>
          </w:p>
        </w:tc>
        <w:tc>
          <w:tcPr>
            <w:tcW w:w="1350" w:type="dxa"/>
          </w:tcPr>
          <w:p w:rsidR="0048005D" w:rsidRDefault="003961F6" w:rsidP="003961F6">
            <w:pPr>
              <w:jc w:val="center"/>
            </w:pPr>
            <w:r>
              <w:t>2.53</w:t>
            </w:r>
          </w:p>
        </w:tc>
      </w:tr>
      <w:tr w:rsidR="0048005D" w:rsidTr="0048005D">
        <w:tc>
          <w:tcPr>
            <w:tcW w:w="4675" w:type="dxa"/>
          </w:tcPr>
          <w:p w:rsidR="0048005D" w:rsidRDefault="0048005D">
            <w:r>
              <w:t>4.</w:t>
            </w:r>
            <w:r w:rsidR="0021743C">
              <w:t xml:space="preserve"> Content Knowledge</w:t>
            </w:r>
          </w:p>
        </w:tc>
        <w:tc>
          <w:tcPr>
            <w:tcW w:w="1350" w:type="dxa"/>
          </w:tcPr>
          <w:p w:rsidR="0048005D" w:rsidRDefault="003961F6" w:rsidP="003961F6">
            <w:pPr>
              <w:jc w:val="center"/>
            </w:pPr>
            <w:r>
              <w:t>2.40</w:t>
            </w:r>
          </w:p>
        </w:tc>
      </w:tr>
      <w:tr w:rsidR="0048005D" w:rsidTr="0048005D">
        <w:tc>
          <w:tcPr>
            <w:tcW w:w="4675" w:type="dxa"/>
          </w:tcPr>
          <w:p w:rsidR="0048005D" w:rsidRDefault="0048005D">
            <w:r>
              <w:t>5.</w:t>
            </w:r>
            <w:r w:rsidR="0021743C">
              <w:t xml:space="preserve"> Application of Content</w:t>
            </w:r>
          </w:p>
        </w:tc>
        <w:tc>
          <w:tcPr>
            <w:tcW w:w="1350" w:type="dxa"/>
          </w:tcPr>
          <w:p w:rsidR="0048005D" w:rsidRDefault="003961F6" w:rsidP="003961F6">
            <w:pPr>
              <w:jc w:val="center"/>
            </w:pPr>
            <w:r>
              <w:t>2.35</w:t>
            </w:r>
          </w:p>
        </w:tc>
      </w:tr>
      <w:tr w:rsidR="0048005D" w:rsidTr="0048005D">
        <w:tc>
          <w:tcPr>
            <w:tcW w:w="4675" w:type="dxa"/>
          </w:tcPr>
          <w:p w:rsidR="0048005D" w:rsidRDefault="0048005D">
            <w:r>
              <w:t>6.</w:t>
            </w:r>
            <w:r w:rsidR="0021743C">
              <w:t xml:space="preserve"> Assessment</w:t>
            </w:r>
          </w:p>
        </w:tc>
        <w:tc>
          <w:tcPr>
            <w:tcW w:w="1350" w:type="dxa"/>
          </w:tcPr>
          <w:p w:rsidR="0048005D" w:rsidRDefault="003961F6" w:rsidP="003961F6">
            <w:pPr>
              <w:jc w:val="center"/>
            </w:pPr>
            <w:r>
              <w:t>2.25</w:t>
            </w:r>
          </w:p>
        </w:tc>
      </w:tr>
      <w:tr w:rsidR="0048005D" w:rsidTr="0048005D">
        <w:tc>
          <w:tcPr>
            <w:tcW w:w="4675" w:type="dxa"/>
          </w:tcPr>
          <w:p w:rsidR="0048005D" w:rsidRDefault="0048005D">
            <w:r>
              <w:t>7.</w:t>
            </w:r>
            <w:r w:rsidR="0021743C">
              <w:t xml:space="preserve"> Planning for Instruction</w:t>
            </w:r>
          </w:p>
        </w:tc>
        <w:tc>
          <w:tcPr>
            <w:tcW w:w="1350" w:type="dxa"/>
          </w:tcPr>
          <w:p w:rsidR="0048005D" w:rsidRDefault="003961F6" w:rsidP="003961F6">
            <w:pPr>
              <w:jc w:val="center"/>
            </w:pPr>
            <w:r>
              <w:t>2.36</w:t>
            </w:r>
          </w:p>
        </w:tc>
      </w:tr>
      <w:tr w:rsidR="0048005D" w:rsidTr="0048005D">
        <w:tc>
          <w:tcPr>
            <w:tcW w:w="4675" w:type="dxa"/>
          </w:tcPr>
          <w:p w:rsidR="0048005D" w:rsidRDefault="0048005D">
            <w:r>
              <w:t>8.</w:t>
            </w:r>
            <w:r w:rsidR="0021743C">
              <w:t xml:space="preserve"> Instructional Strategies</w:t>
            </w:r>
          </w:p>
        </w:tc>
        <w:tc>
          <w:tcPr>
            <w:tcW w:w="1350" w:type="dxa"/>
          </w:tcPr>
          <w:p w:rsidR="0048005D" w:rsidRDefault="003961F6" w:rsidP="003961F6">
            <w:pPr>
              <w:jc w:val="center"/>
            </w:pPr>
            <w:r>
              <w:t>2.35</w:t>
            </w:r>
          </w:p>
        </w:tc>
      </w:tr>
      <w:tr w:rsidR="0048005D" w:rsidTr="0048005D">
        <w:tc>
          <w:tcPr>
            <w:tcW w:w="4675" w:type="dxa"/>
          </w:tcPr>
          <w:p w:rsidR="0048005D" w:rsidRDefault="0048005D">
            <w:r>
              <w:t>9.</w:t>
            </w:r>
            <w:r w:rsidR="0021743C">
              <w:t xml:space="preserve"> Professional Learning and Ethical Practice</w:t>
            </w:r>
          </w:p>
        </w:tc>
        <w:tc>
          <w:tcPr>
            <w:tcW w:w="1350" w:type="dxa"/>
          </w:tcPr>
          <w:p w:rsidR="0048005D" w:rsidRDefault="003961F6" w:rsidP="003961F6">
            <w:pPr>
              <w:jc w:val="center"/>
            </w:pPr>
            <w:r>
              <w:t>2.68</w:t>
            </w:r>
          </w:p>
        </w:tc>
      </w:tr>
      <w:tr w:rsidR="0048005D" w:rsidTr="0048005D">
        <w:tc>
          <w:tcPr>
            <w:tcW w:w="4675" w:type="dxa"/>
          </w:tcPr>
          <w:p w:rsidR="0048005D" w:rsidRDefault="0048005D">
            <w:r>
              <w:t>10.</w:t>
            </w:r>
            <w:r w:rsidR="0021743C">
              <w:t xml:space="preserve"> Leadership and Collaboration</w:t>
            </w:r>
          </w:p>
        </w:tc>
        <w:tc>
          <w:tcPr>
            <w:tcW w:w="1350" w:type="dxa"/>
          </w:tcPr>
          <w:p w:rsidR="0048005D" w:rsidRDefault="003961F6" w:rsidP="003961F6">
            <w:pPr>
              <w:jc w:val="center"/>
            </w:pPr>
            <w:r>
              <w:t>2.57</w:t>
            </w:r>
          </w:p>
        </w:tc>
      </w:tr>
    </w:tbl>
    <w:p w:rsidR="0048005D" w:rsidRDefault="0048005D"/>
    <w:tbl>
      <w:tblPr>
        <w:tblStyle w:val="TableGrid"/>
        <w:tblW w:w="0" w:type="auto"/>
        <w:tblLook w:val="04A0" w:firstRow="1" w:lastRow="0" w:firstColumn="1" w:lastColumn="0" w:noHBand="0" w:noVBand="1"/>
      </w:tblPr>
      <w:tblGrid>
        <w:gridCol w:w="4675"/>
        <w:gridCol w:w="1350"/>
      </w:tblGrid>
      <w:tr w:rsidR="0048005D" w:rsidTr="0048005D">
        <w:tc>
          <w:tcPr>
            <w:tcW w:w="4675" w:type="dxa"/>
          </w:tcPr>
          <w:p w:rsidR="0048005D" w:rsidRPr="0048005D" w:rsidRDefault="0048005D" w:rsidP="0048005D">
            <w:pPr>
              <w:jc w:val="center"/>
              <w:rPr>
                <w:b/>
              </w:rPr>
            </w:pPr>
            <w:r w:rsidRPr="0048005D">
              <w:rPr>
                <w:b/>
              </w:rPr>
              <w:t>Domain</w:t>
            </w:r>
          </w:p>
        </w:tc>
        <w:tc>
          <w:tcPr>
            <w:tcW w:w="1350" w:type="dxa"/>
          </w:tcPr>
          <w:p w:rsidR="0048005D" w:rsidRPr="0048005D" w:rsidRDefault="0048005D" w:rsidP="0048005D">
            <w:pPr>
              <w:jc w:val="center"/>
              <w:rPr>
                <w:b/>
              </w:rPr>
            </w:pPr>
            <w:r w:rsidRPr="0048005D">
              <w:rPr>
                <w:b/>
              </w:rPr>
              <w:t>Mean</w:t>
            </w:r>
          </w:p>
        </w:tc>
      </w:tr>
      <w:tr w:rsidR="0048005D" w:rsidTr="0048005D">
        <w:tc>
          <w:tcPr>
            <w:tcW w:w="4675" w:type="dxa"/>
          </w:tcPr>
          <w:p w:rsidR="0048005D" w:rsidRDefault="0048005D">
            <w:r>
              <w:t>Dispositions</w:t>
            </w:r>
          </w:p>
        </w:tc>
        <w:tc>
          <w:tcPr>
            <w:tcW w:w="1350" w:type="dxa"/>
          </w:tcPr>
          <w:p w:rsidR="0048005D" w:rsidRDefault="003961F6" w:rsidP="003961F6">
            <w:pPr>
              <w:jc w:val="center"/>
            </w:pPr>
            <w:r>
              <w:t>2.52</w:t>
            </w:r>
          </w:p>
        </w:tc>
      </w:tr>
      <w:tr w:rsidR="0048005D" w:rsidTr="0048005D">
        <w:tc>
          <w:tcPr>
            <w:tcW w:w="4675" w:type="dxa"/>
          </w:tcPr>
          <w:p w:rsidR="0048005D" w:rsidRDefault="0048005D">
            <w:r>
              <w:t>Communication</w:t>
            </w:r>
          </w:p>
        </w:tc>
        <w:tc>
          <w:tcPr>
            <w:tcW w:w="1350" w:type="dxa"/>
          </w:tcPr>
          <w:p w:rsidR="0048005D" w:rsidRDefault="003961F6" w:rsidP="003961F6">
            <w:pPr>
              <w:jc w:val="center"/>
            </w:pPr>
            <w:r>
              <w:t>2.41</w:t>
            </w:r>
          </w:p>
        </w:tc>
      </w:tr>
    </w:tbl>
    <w:p w:rsidR="0048005D" w:rsidRDefault="0048005D"/>
    <w:p w:rsidR="0021743C" w:rsidRDefault="003961F6">
      <w:r w:rsidRPr="003961F6">
        <w:rPr>
          <w:b/>
        </w:rPr>
        <w:t>Summary.</w:t>
      </w:r>
      <w:r>
        <w:t xml:space="preserve"> The mean scores across all domains indicate candidates’ knowledge and skills at the developing level, as would be expected in a pre-student teaching experience. Across the InTASC domains, there were </w:t>
      </w:r>
      <w:r w:rsidR="00266523">
        <w:t xml:space="preserve">consistent </w:t>
      </w:r>
      <w:r>
        <w:t xml:space="preserve">areas in which the candidates’ were “not observed” including, working with families, using technology, participating in professional development activities, and supporting English Language Learners. </w:t>
      </w:r>
      <w:r w:rsidR="00266523">
        <w:t>While this result could indicate a lack of opportunity, it may also be lack of knowledge and/or skill development in these areas.</w:t>
      </w:r>
    </w:p>
    <w:p w:rsidR="0021743C" w:rsidRDefault="0021743C"/>
    <w:p w:rsidR="00746C3E" w:rsidRDefault="00746C3E"/>
    <w:p w:rsidR="00746C3E" w:rsidRDefault="00746C3E"/>
    <w:p w:rsidR="003961F6" w:rsidRDefault="0021743C">
      <w:r>
        <w:lastRenderedPageBreak/>
        <w:t xml:space="preserve">Table 2. </w:t>
      </w:r>
      <w:r w:rsidR="0079333F">
        <w:t>Fall 2019 student t</w:t>
      </w:r>
      <w:r w:rsidR="0048005D">
        <w:t>eaching InTASC evaluation results</w:t>
      </w:r>
      <w:r w:rsidR="003961F6">
        <w:t xml:space="preserve"> (N= 148)</w:t>
      </w:r>
    </w:p>
    <w:p w:rsidR="003961F6" w:rsidRDefault="003961F6" w:rsidP="003961F6"/>
    <w:tbl>
      <w:tblPr>
        <w:tblStyle w:val="TableGrid"/>
        <w:tblW w:w="0" w:type="auto"/>
        <w:tblLook w:val="04A0" w:firstRow="1" w:lastRow="0" w:firstColumn="1" w:lastColumn="0" w:noHBand="0" w:noVBand="1"/>
      </w:tblPr>
      <w:tblGrid>
        <w:gridCol w:w="4675"/>
        <w:gridCol w:w="1350"/>
      </w:tblGrid>
      <w:tr w:rsidR="003961F6" w:rsidTr="000258F2">
        <w:tc>
          <w:tcPr>
            <w:tcW w:w="4675" w:type="dxa"/>
          </w:tcPr>
          <w:p w:rsidR="003961F6" w:rsidRPr="0048005D" w:rsidRDefault="003961F6" w:rsidP="000258F2">
            <w:pPr>
              <w:jc w:val="center"/>
              <w:rPr>
                <w:b/>
              </w:rPr>
            </w:pPr>
            <w:r w:rsidRPr="0048005D">
              <w:rPr>
                <w:b/>
              </w:rPr>
              <w:t>InTASC standard</w:t>
            </w:r>
          </w:p>
        </w:tc>
        <w:tc>
          <w:tcPr>
            <w:tcW w:w="1350" w:type="dxa"/>
          </w:tcPr>
          <w:p w:rsidR="003961F6" w:rsidRPr="0048005D" w:rsidRDefault="003961F6" w:rsidP="000258F2">
            <w:pPr>
              <w:jc w:val="center"/>
              <w:rPr>
                <w:b/>
              </w:rPr>
            </w:pPr>
            <w:r w:rsidRPr="0048005D">
              <w:rPr>
                <w:b/>
              </w:rPr>
              <w:t>Mean</w:t>
            </w:r>
          </w:p>
        </w:tc>
      </w:tr>
      <w:tr w:rsidR="0021743C" w:rsidTr="000258F2">
        <w:tc>
          <w:tcPr>
            <w:tcW w:w="4675" w:type="dxa"/>
          </w:tcPr>
          <w:p w:rsidR="0021743C" w:rsidRDefault="0021743C" w:rsidP="0021743C">
            <w:r>
              <w:t>1. Learner Development</w:t>
            </w:r>
          </w:p>
        </w:tc>
        <w:tc>
          <w:tcPr>
            <w:tcW w:w="1350" w:type="dxa"/>
          </w:tcPr>
          <w:p w:rsidR="0021743C" w:rsidRDefault="0021743C" w:rsidP="0021743C">
            <w:pPr>
              <w:jc w:val="center"/>
            </w:pPr>
            <w:r>
              <w:t>2.76</w:t>
            </w:r>
          </w:p>
        </w:tc>
      </w:tr>
      <w:tr w:rsidR="0021743C" w:rsidTr="000258F2">
        <w:tc>
          <w:tcPr>
            <w:tcW w:w="4675" w:type="dxa"/>
          </w:tcPr>
          <w:p w:rsidR="0021743C" w:rsidRDefault="0021743C" w:rsidP="0021743C">
            <w:r>
              <w:t>2. Learning Differences</w:t>
            </w:r>
          </w:p>
        </w:tc>
        <w:tc>
          <w:tcPr>
            <w:tcW w:w="1350" w:type="dxa"/>
          </w:tcPr>
          <w:p w:rsidR="0021743C" w:rsidRDefault="0021743C" w:rsidP="0021743C">
            <w:pPr>
              <w:jc w:val="center"/>
            </w:pPr>
            <w:r>
              <w:t>2.76</w:t>
            </w:r>
          </w:p>
        </w:tc>
      </w:tr>
      <w:tr w:rsidR="0021743C" w:rsidTr="000258F2">
        <w:tc>
          <w:tcPr>
            <w:tcW w:w="4675" w:type="dxa"/>
          </w:tcPr>
          <w:p w:rsidR="0021743C" w:rsidRDefault="0021743C" w:rsidP="0021743C">
            <w:r>
              <w:t>3. Learning Environments</w:t>
            </w:r>
          </w:p>
        </w:tc>
        <w:tc>
          <w:tcPr>
            <w:tcW w:w="1350" w:type="dxa"/>
          </w:tcPr>
          <w:p w:rsidR="0021743C" w:rsidRDefault="0021743C" w:rsidP="0021743C">
            <w:pPr>
              <w:jc w:val="center"/>
            </w:pPr>
            <w:r>
              <w:t>3.00</w:t>
            </w:r>
          </w:p>
        </w:tc>
      </w:tr>
      <w:tr w:rsidR="0021743C" w:rsidTr="000258F2">
        <w:tc>
          <w:tcPr>
            <w:tcW w:w="4675" w:type="dxa"/>
          </w:tcPr>
          <w:p w:rsidR="0021743C" w:rsidRDefault="0021743C" w:rsidP="0021743C">
            <w:r>
              <w:t>4. Content Knowledge</w:t>
            </w:r>
          </w:p>
        </w:tc>
        <w:tc>
          <w:tcPr>
            <w:tcW w:w="1350" w:type="dxa"/>
          </w:tcPr>
          <w:p w:rsidR="0021743C" w:rsidRDefault="0021743C" w:rsidP="0021743C">
            <w:pPr>
              <w:jc w:val="center"/>
            </w:pPr>
            <w:r>
              <w:t>2.88</w:t>
            </w:r>
          </w:p>
        </w:tc>
      </w:tr>
      <w:tr w:rsidR="0021743C" w:rsidTr="000258F2">
        <w:tc>
          <w:tcPr>
            <w:tcW w:w="4675" w:type="dxa"/>
          </w:tcPr>
          <w:p w:rsidR="0021743C" w:rsidRDefault="0021743C" w:rsidP="0021743C">
            <w:r>
              <w:t>5. Application of Content</w:t>
            </w:r>
          </w:p>
        </w:tc>
        <w:tc>
          <w:tcPr>
            <w:tcW w:w="1350" w:type="dxa"/>
          </w:tcPr>
          <w:p w:rsidR="0021743C" w:rsidRDefault="0021743C" w:rsidP="0021743C">
            <w:pPr>
              <w:jc w:val="center"/>
            </w:pPr>
            <w:r>
              <w:t>2.82</w:t>
            </w:r>
          </w:p>
        </w:tc>
      </w:tr>
      <w:tr w:rsidR="0021743C" w:rsidTr="000258F2">
        <w:tc>
          <w:tcPr>
            <w:tcW w:w="4675" w:type="dxa"/>
          </w:tcPr>
          <w:p w:rsidR="0021743C" w:rsidRDefault="0021743C" w:rsidP="0021743C">
            <w:r>
              <w:t>6. Assessment</w:t>
            </w:r>
          </w:p>
        </w:tc>
        <w:tc>
          <w:tcPr>
            <w:tcW w:w="1350" w:type="dxa"/>
          </w:tcPr>
          <w:p w:rsidR="0021743C" w:rsidRDefault="0021743C" w:rsidP="0021743C">
            <w:pPr>
              <w:jc w:val="center"/>
            </w:pPr>
            <w:r>
              <w:t>2.91</w:t>
            </w:r>
          </w:p>
        </w:tc>
      </w:tr>
      <w:tr w:rsidR="0021743C" w:rsidTr="000258F2">
        <w:tc>
          <w:tcPr>
            <w:tcW w:w="4675" w:type="dxa"/>
          </w:tcPr>
          <w:p w:rsidR="0021743C" w:rsidRDefault="0021743C" w:rsidP="0021743C">
            <w:r>
              <w:t>7. Planning for Instruction</w:t>
            </w:r>
          </w:p>
        </w:tc>
        <w:tc>
          <w:tcPr>
            <w:tcW w:w="1350" w:type="dxa"/>
          </w:tcPr>
          <w:p w:rsidR="0021743C" w:rsidRDefault="0021743C" w:rsidP="0021743C">
            <w:pPr>
              <w:jc w:val="center"/>
            </w:pPr>
            <w:r>
              <w:t>2.92</w:t>
            </w:r>
          </w:p>
        </w:tc>
      </w:tr>
      <w:tr w:rsidR="0021743C" w:rsidTr="000258F2">
        <w:tc>
          <w:tcPr>
            <w:tcW w:w="4675" w:type="dxa"/>
          </w:tcPr>
          <w:p w:rsidR="0021743C" w:rsidRDefault="0021743C" w:rsidP="0021743C">
            <w:r>
              <w:t>8. Instructional Strategies</w:t>
            </w:r>
          </w:p>
        </w:tc>
        <w:tc>
          <w:tcPr>
            <w:tcW w:w="1350" w:type="dxa"/>
          </w:tcPr>
          <w:p w:rsidR="0021743C" w:rsidRDefault="0021743C" w:rsidP="0021743C">
            <w:pPr>
              <w:jc w:val="center"/>
            </w:pPr>
            <w:r>
              <w:t>2.83</w:t>
            </w:r>
          </w:p>
        </w:tc>
      </w:tr>
      <w:tr w:rsidR="0021743C" w:rsidTr="000258F2">
        <w:tc>
          <w:tcPr>
            <w:tcW w:w="4675" w:type="dxa"/>
          </w:tcPr>
          <w:p w:rsidR="0021743C" w:rsidRDefault="0021743C" w:rsidP="0021743C">
            <w:r>
              <w:t>9. Professional Learning and Ethical Practice</w:t>
            </w:r>
          </w:p>
        </w:tc>
        <w:tc>
          <w:tcPr>
            <w:tcW w:w="1350" w:type="dxa"/>
          </w:tcPr>
          <w:p w:rsidR="0021743C" w:rsidRDefault="0021743C" w:rsidP="0021743C">
            <w:pPr>
              <w:jc w:val="center"/>
            </w:pPr>
            <w:r>
              <w:t>3.18</w:t>
            </w:r>
          </w:p>
        </w:tc>
      </w:tr>
      <w:tr w:rsidR="0021743C" w:rsidTr="000258F2">
        <w:tc>
          <w:tcPr>
            <w:tcW w:w="4675" w:type="dxa"/>
          </w:tcPr>
          <w:p w:rsidR="0021743C" w:rsidRDefault="0021743C" w:rsidP="0021743C">
            <w:r>
              <w:t>10. Leadership and Collaboration</w:t>
            </w:r>
          </w:p>
        </w:tc>
        <w:tc>
          <w:tcPr>
            <w:tcW w:w="1350" w:type="dxa"/>
          </w:tcPr>
          <w:p w:rsidR="0021743C" w:rsidRDefault="0021743C" w:rsidP="0021743C">
            <w:pPr>
              <w:jc w:val="center"/>
            </w:pPr>
            <w:r>
              <w:t>3.06</w:t>
            </w:r>
          </w:p>
        </w:tc>
      </w:tr>
    </w:tbl>
    <w:p w:rsidR="003961F6" w:rsidRDefault="003961F6" w:rsidP="003961F6"/>
    <w:tbl>
      <w:tblPr>
        <w:tblStyle w:val="TableGrid"/>
        <w:tblW w:w="0" w:type="auto"/>
        <w:tblLook w:val="04A0" w:firstRow="1" w:lastRow="0" w:firstColumn="1" w:lastColumn="0" w:noHBand="0" w:noVBand="1"/>
      </w:tblPr>
      <w:tblGrid>
        <w:gridCol w:w="4675"/>
        <w:gridCol w:w="1350"/>
      </w:tblGrid>
      <w:tr w:rsidR="003961F6" w:rsidTr="000258F2">
        <w:tc>
          <w:tcPr>
            <w:tcW w:w="4675" w:type="dxa"/>
          </w:tcPr>
          <w:p w:rsidR="003961F6" w:rsidRPr="0048005D" w:rsidRDefault="003961F6" w:rsidP="000258F2">
            <w:pPr>
              <w:jc w:val="center"/>
              <w:rPr>
                <w:b/>
              </w:rPr>
            </w:pPr>
            <w:r w:rsidRPr="0048005D">
              <w:rPr>
                <w:b/>
              </w:rPr>
              <w:t>Domain</w:t>
            </w:r>
          </w:p>
        </w:tc>
        <w:tc>
          <w:tcPr>
            <w:tcW w:w="1350" w:type="dxa"/>
          </w:tcPr>
          <w:p w:rsidR="003961F6" w:rsidRPr="0048005D" w:rsidRDefault="003961F6" w:rsidP="000258F2">
            <w:pPr>
              <w:jc w:val="center"/>
              <w:rPr>
                <w:b/>
              </w:rPr>
            </w:pPr>
            <w:r w:rsidRPr="0048005D">
              <w:rPr>
                <w:b/>
              </w:rPr>
              <w:t>Mean</w:t>
            </w:r>
          </w:p>
        </w:tc>
      </w:tr>
      <w:tr w:rsidR="003961F6" w:rsidTr="000258F2">
        <w:tc>
          <w:tcPr>
            <w:tcW w:w="4675" w:type="dxa"/>
          </w:tcPr>
          <w:p w:rsidR="003961F6" w:rsidRDefault="003961F6" w:rsidP="000258F2">
            <w:r>
              <w:t>Dispositions</w:t>
            </w:r>
          </w:p>
        </w:tc>
        <w:tc>
          <w:tcPr>
            <w:tcW w:w="1350" w:type="dxa"/>
          </w:tcPr>
          <w:p w:rsidR="003961F6" w:rsidRDefault="00924AA4" w:rsidP="000258F2">
            <w:pPr>
              <w:jc w:val="center"/>
            </w:pPr>
            <w:r>
              <w:t>3.03</w:t>
            </w:r>
          </w:p>
        </w:tc>
      </w:tr>
      <w:tr w:rsidR="003961F6" w:rsidTr="000258F2">
        <w:tc>
          <w:tcPr>
            <w:tcW w:w="4675" w:type="dxa"/>
          </w:tcPr>
          <w:p w:rsidR="003961F6" w:rsidRDefault="003961F6" w:rsidP="000258F2">
            <w:r>
              <w:t>Communication</w:t>
            </w:r>
          </w:p>
        </w:tc>
        <w:tc>
          <w:tcPr>
            <w:tcW w:w="1350" w:type="dxa"/>
          </w:tcPr>
          <w:p w:rsidR="003961F6" w:rsidRDefault="00924AA4" w:rsidP="000258F2">
            <w:pPr>
              <w:jc w:val="center"/>
            </w:pPr>
            <w:r>
              <w:t>3.01</w:t>
            </w:r>
          </w:p>
        </w:tc>
      </w:tr>
    </w:tbl>
    <w:p w:rsidR="003961F6" w:rsidRDefault="003961F6"/>
    <w:p w:rsidR="001F36FA" w:rsidRPr="001F36FA" w:rsidRDefault="001F36FA">
      <w:r w:rsidRPr="003961F6">
        <w:rPr>
          <w:b/>
        </w:rPr>
        <w:t>Summary.</w:t>
      </w:r>
      <w:r>
        <w:rPr>
          <w:b/>
        </w:rPr>
        <w:t xml:space="preserve"> </w:t>
      </w:r>
      <w:r w:rsidR="0079333F">
        <w:t xml:space="preserve">Please note this is a different sample than in Table 1. </w:t>
      </w:r>
      <w:r>
        <w:t xml:space="preserve">The mean scores reflect candidates knowledge and skills in student teaching nearing the effective level. The areas candidates show relative strength include </w:t>
      </w:r>
      <w:r w:rsidR="0021743C">
        <w:t xml:space="preserve">professional learning and ethical practice, leadership, and managing the learning environment. The increase in mean scores from pre-student teaching to student teaching </w:t>
      </w:r>
      <w:r w:rsidR="0079333F">
        <w:t>is not reflective of growth as this is a different and larger sample.</w:t>
      </w:r>
      <w:r w:rsidR="0021743C">
        <w:t xml:space="preserve"> In addition, the student teaching sample includes candidates from a variety of programs.</w:t>
      </w:r>
    </w:p>
    <w:sectPr w:rsidR="001F36FA" w:rsidRPr="001F36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82C" w:rsidRDefault="00DC682C" w:rsidP="00266523">
      <w:r>
        <w:separator/>
      </w:r>
    </w:p>
  </w:endnote>
  <w:endnote w:type="continuationSeparator" w:id="0">
    <w:p w:rsidR="00DC682C" w:rsidRDefault="00DC682C" w:rsidP="0026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055549"/>
      <w:docPartObj>
        <w:docPartGallery w:val="Page Numbers (Bottom of Page)"/>
        <w:docPartUnique/>
      </w:docPartObj>
    </w:sdtPr>
    <w:sdtEndPr>
      <w:rPr>
        <w:noProof/>
      </w:rPr>
    </w:sdtEndPr>
    <w:sdtContent>
      <w:p w:rsidR="00266523" w:rsidRDefault="00266523" w:rsidP="00266523">
        <w:pPr>
          <w:pStyle w:val="Footer"/>
          <w:jc w:val="center"/>
        </w:pPr>
        <w:r>
          <w:fldChar w:fldCharType="begin"/>
        </w:r>
        <w:r>
          <w:instrText xml:space="preserve"> PAGE   \* MERGEFORMAT </w:instrText>
        </w:r>
        <w:r>
          <w:fldChar w:fldCharType="separate"/>
        </w:r>
        <w:r w:rsidR="0079333F">
          <w:rPr>
            <w:noProof/>
          </w:rPr>
          <w:t>1</w:t>
        </w:r>
        <w:r>
          <w:rPr>
            <w:noProof/>
          </w:rPr>
          <w:fldChar w:fldCharType="end"/>
        </w:r>
      </w:p>
    </w:sdtContent>
  </w:sdt>
  <w:p w:rsidR="00266523" w:rsidRDefault="0026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82C" w:rsidRDefault="00DC682C" w:rsidP="00266523">
      <w:r>
        <w:separator/>
      </w:r>
    </w:p>
  </w:footnote>
  <w:footnote w:type="continuationSeparator" w:id="0">
    <w:p w:rsidR="00DC682C" w:rsidRDefault="00DC682C" w:rsidP="0026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82F" w:rsidRDefault="0098682F" w:rsidP="0098682F">
    <w:pPr>
      <w:pStyle w:val="Header"/>
      <w:jc w:val="right"/>
    </w:pPr>
    <w:r>
      <w:t>InTASC Evaluation Analysis</w:t>
    </w:r>
  </w:p>
  <w:p w:rsidR="0098682F" w:rsidRDefault="0098682F" w:rsidP="0098682F">
    <w:pPr>
      <w:pStyle w:val="Header"/>
      <w:jc w:val="right"/>
    </w:pPr>
    <w:r>
      <w:t>Fall 2019</w:t>
    </w:r>
  </w:p>
  <w:p w:rsidR="0098682F" w:rsidRDefault="00986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3256A"/>
    <w:multiLevelType w:val="hybridMultilevel"/>
    <w:tmpl w:val="366A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5D"/>
    <w:rsid w:val="001F36FA"/>
    <w:rsid w:val="0021743C"/>
    <w:rsid w:val="00266523"/>
    <w:rsid w:val="002F10A2"/>
    <w:rsid w:val="003961F6"/>
    <w:rsid w:val="0048005D"/>
    <w:rsid w:val="0060294E"/>
    <w:rsid w:val="00746C3E"/>
    <w:rsid w:val="0079333F"/>
    <w:rsid w:val="00924AA4"/>
    <w:rsid w:val="0098682F"/>
    <w:rsid w:val="00C12A5A"/>
    <w:rsid w:val="00DC682C"/>
    <w:rsid w:val="00FF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C3FEB-45C5-4121-BA85-CC01FB2C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523"/>
    <w:pPr>
      <w:tabs>
        <w:tab w:val="center" w:pos="4680"/>
        <w:tab w:val="right" w:pos="9360"/>
      </w:tabs>
    </w:pPr>
  </w:style>
  <w:style w:type="character" w:customStyle="1" w:styleId="HeaderChar">
    <w:name w:val="Header Char"/>
    <w:basedOn w:val="DefaultParagraphFont"/>
    <w:link w:val="Header"/>
    <w:uiPriority w:val="99"/>
    <w:rsid w:val="00266523"/>
  </w:style>
  <w:style w:type="paragraph" w:styleId="Footer">
    <w:name w:val="footer"/>
    <w:basedOn w:val="Normal"/>
    <w:link w:val="FooterChar"/>
    <w:uiPriority w:val="99"/>
    <w:unhideWhenUsed/>
    <w:rsid w:val="00266523"/>
    <w:pPr>
      <w:tabs>
        <w:tab w:val="center" w:pos="4680"/>
        <w:tab w:val="right" w:pos="9360"/>
      </w:tabs>
    </w:pPr>
  </w:style>
  <w:style w:type="character" w:customStyle="1" w:styleId="FooterChar">
    <w:name w:val="Footer Char"/>
    <w:basedOn w:val="DefaultParagraphFont"/>
    <w:link w:val="Footer"/>
    <w:uiPriority w:val="99"/>
    <w:rsid w:val="00266523"/>
  </w:style>
  <w:style w:type="paragraph" w:styleId="ListParagraph">
    <w:name w:val="List Paragraph"/>
    <w:basedOn w:val="Normal"/>
    <w:uiPriority w:val="34"/>
    <w:qFormat/>
    <w:rsid w:val="00266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Kathryn J</dc:creator>
  <cp:keywords/>
  <dc:description/>
  <cp:lastModifiedBy>Jonathan Spike</cp:lastModifiedBy>
  <cp:revision>2</cp:revision>
  <dcterms:created xsi:type="dcterms:W3CDTF">2020-03-09T20:48:00Z</dcterms:created>
  <dcterms:modified xsi:type="dcterms:W3CDTF">2020-03-09T20:48:00Z</dcterms:modified>
</cp:coreProperties>
</file>