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4AA0" w:rsidRPr="009930BE" w:rsidRDefault="003A589E" w:rsidP="009930BE">
      <w:pPr>
        <w:spacing w:after="0"/>
        <w:rPr>
          <w:rFonts w:asciiTheme="minorHAnsi" w:hAnsiTheme="minorHAnsi" w:cstheme="minorHAnsi"/>
        </w:rPr>
      </w:pPr>
      <w:r>
        <w:rPr>
          <w:noProof/>
        </w:rPr>
        <w:drawing>
          <wp:inline distT="0" distB="0" distL="0" distR="0" wp14:anchorId="4658639F" wp14:editId="47F2A2E1">
            <wp:extent cx="2574290" cy="552450"/>
            <wp:effectExtent l="0" t="0" r="0" b="0"/>
            <wp:docPr id="3" name="Picture 3" descr="Image result for uw-whitewater"/>
            <wp:cNvGraphicFramePr/>
            <a:graphic xmlns:a="http://schemas.openxmlformats.org/drawingml/2006/main">
              <a:graphicData uri="http://schemas.openxmlformats.org/drawingml/2006/picture">
                <pic:pic xmlns:pic="http://schemas.openxmlformats.org/drawingml/2006/picture">
                  <pic:nvPicPr>
                    <pic:cNvPr id="3" name="Picture 3" descr="Image result for uw-whitewate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4290" cy="552450"/>
                    </a:xfrm>
                    <a:prstGeom prst="rect">
                      <a:avLst/>
                    </a:prstGeom>
                    <a:noFill/>
                    <a:ln>
                      <a:noFill/>
                    </a:ln>
                  </pic:spPr>
                </pic:pic>
              </a:graphicData>
            </a:graphic>
          </wp:inline>
        </w:drawing>
      </w:r>
    </w:p>
    <w:p w:rsidR="00711A25" w:rsidRPr="009930BE" w:rsidRDefault="00711A25" w:rsidP="009930BE">
      <w:pPr>
        <w:spacing w:after="0"/>
        <w:rPr>
          <w:rFonts w:asciiTheme="minorHAnsi" w:hAnsiTheme="minorHAnsi" w:cstheme="minorHAnsi"/>
        </w:rPr>
      </w:pPr>
    </w:p>
    <w:p w:rsidR="001919B9" w:rsidRPr="00E81E4D" w:rsidRDefault="00884475" w:rsidP="0096640E">
      <w:pPr>
        <w:pStyle w:val="Heading1"/>
        <w:spacing w:before="0"/>
        <w:jc w:val="both"/>
        <w:rPr>
          <w:rFonts w:ascii="Calibri" w:hAnsi="Calibri" w:cs="Calibri"/>
          <w:color w:val="501D82"/>
        </w:rPr>
      </w:pPr>
      <w:r>
        <w:rPr>
          <w:rFonts w:ascii="Calibri" w:hAnsi="Calibri" w:cs="Calibri"/>
          <w:color w:val="501D82"/>
        </w:rPr>
        <w:t>Foreign Influence Practice Directive</w:t>
      </w:r>
    </w:p>
    <w:p w:rsidR="006A1532" w:rsidRPr="006A1532" w:rsidRDefault="006A1532" w:rsidP="0096640E">
      <w:pPr>
        <w:spacing w:after="0"/>
        <w:jc w:val="both"/>
        <w:rPr>
          <w:rFonts w:asciiTheme="minorHAnsi" w:hAnsiTheme="minorHAnsi" w:cstheme="minorHAnsi"/>
        </w:rPr>
      </w:pPr>
    </w:p>
    <w:tbl>
      <w:tblPr>
        <w:tblStyle w:val="TableGrid"/>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E0DEFE"/>
        <w:tblLook w:val="04A0" w:firstRow="1" w:lastRow="0" w:firstColumn="1" w:lastColumn="0" w:noHBand="0" w:noVBand="1"/>
      </w:tblPr>
      <w:tblGrid>
        <w:gridCol w:w="9350"/>
      </w:tblGrid>
      <w:tr w:rsidR="001919B9" w:rsidRPr="00E81E4D" w:rsidTr="008C3C36">
        <w:tc>
          <w:tcPr>
            <w:tcW w:w="9350" w:type="dxa"/>
            <w:shd w:val="clear" w:color="auto" w:fill="E0DEFE"/>
          </w:tcPr>
          <w:p w:rsidR="0096640E" w:rsidRDefault="00C50385" w:rsidP="0096640E">
            <w:pPr>
              <w:ind w:left="720"/>
              <w:rPr>
                <w:rFonts w:ascii="Calibri" w:hAnsi="Calibri" w:cs="Calibri"/>
                <w:b/>
              </w:rPr>
            </w:pPr>
            <w:r w:rsidRPr="00E81E4D">
              <w:rPr>
                <w:rFonts w:ascii="Calibri" w:hAnsi="Calibri" w:cs="Calibri"/>
                <w:b/>
              </w:rPr>
              <w:t>Division</w:t>
            </w:r>
            <w:r w:rsidR="001919B9" w:rsidRPr="00E81E4D">
              <w:rPr>
                <w:rFonts w:ascii="Calibri" w:hAnsi="Calibri" w:cs="Calibri"/>
                <w:b/>
              </w:rPr>
              <w:t>:</w:t>
            </w:r>
            <w:r w:rsidR="0096640E">
              <w:rPr>
                <w:rFonts w:ascii="Calibri" w:hAnsi="Calibri" w:cs="Calibri"/>
                <w:b/>
              </w:rPr>
              <w:t xml:space="preserve"> </w:t>
            </w:r>
          </w:p>
          <w:p w:rsidR="001919B9" w:rsidRPr="0096640E" w:rsidRDefault="00435F68" w:rsidP="0096640E">
            <w:pPr>
              <w:ind w:left="720"/>
              <w:rPr>
                <w:rFonts w:ascii="Calibri" w:hAnsi="Calibri" w:cs="Calibri"/>
                <w:b/>
              </w:rPr>
            </w:pPr>
            <w:r>
              <w:rPr>
                <w:rFonts w:ascii="Calibri" w:hAnsi="Calibri" w:cs="Calibri"/>
              </w:rPr>
              <w:t>Administrative Affairs</w:t>
            </w:r>
          </w:p>
        </w:tc>
      </w:tr>
      <w:tr w:rsidR="001919B9" w:rsidRPr="00E81E4D" w:rsidTr="008C3C36">
        <w:tc>
          <w:tcPr>
            <w:tcW w:w="9350" w:type="dxa"/>
            <w:shd w:val="clear" w:color="auto" w:fill="E0DEFE"/>
          </w:tcPr>
          <w:p w:rsidR="0096640E" w:rsidRDefault="00C50385" w:rsidP="0096640E">
            <w:pPr>
              <w:ind w:left="720"/>
              <w:rPr>
                <w:rFonts w:ascii="Calibri" w:hAnsi="Calibri" w:cs="Calibri"/>
                <w:b/>
              </w:rPr>
            </w:pPr>
            <w:r w:rsidRPr="00E81E4D">
              <w:rPr>
                <w:rFonts w:ascii="Calibri" w:hAnsi="Calibri" w:cs="Calibri"/>
                <w:b/>
              </w:rPr>
              <w:t>Department</w:t>
            </w:r>
            <w:r w:rsidR="001919B9" w:rsidRPr="00E81E4D">
              <w:rPr>
                <w:rFonts w:ascii="Calibri" w:hAnsi="Calibri" w:cs="Calibri"/>
                <w:b/>
              </w:rPr>
              <w:t>:</w:t>
            </w:r>
            <w:r w:rsidR="0096640E">
              <w:rPr>
                <w:rFonts w:ascii="Calibri" w:hAnsi="Calibri" w:cs="Calibri"/>
                <w:b/>
              </w:rPr>
              <w:t xml:space="preserve"> </w:t>
            </w:r>
          </w:p>
          <w:p w:rsidR="001919B9" w:rsidRPr="0096640E" w:rsidRDefault="009D54BC" w:rsidP="0096640E">
            <w:pPr>
              <w:ind w:left="720"/>
              <w:rPr>
                <w:rFonts w:ascii="Calibri" w:hAnsi="Calibri" w:cs="Calibri"/>
                <w:b/>
              </w:rPr>
            </w:pPr>
            <w:r w:rsidRPr="00C37647">
              <w:rPr>
                <w:rFonts w:ascii="Calibri" w:hAnsi="Calibri" w:cs="Calibri"/>
              </w:rPr>
              <w:t>Administrative Affairs</w:t>
            </w:r>
          </w:p>
        </w:tc>
      </w:tr>
      <w:tr w:rsidR="001919B9" w:rsidRPr="00E81E4D" w:rsidTr="008C3C36">
        <w:tc>
          <w:tcPr>
            <w:tcW w:w="9350" w:type="dxa"/>
            <w:shd w:val="clear" w:color="auto" w:fill="E0DEFE"/>
          </w:tcPr>
          <w:p w:rsidR="001919B9" w:rsidRPr="00E81E4D" w:rsidRDefault="00C50385" w:rsidP="0096640E">
            <w:pPr>
              <w:ind w:left="720"/>
              <w:rPr>
                <w:rFonts w:ascii="Calibri" w:hAnsi="Calibri" w:cs="Calibri"/>
                <w:b/>
              </w:rPr>
            </w:pPr>
            <w:r w:rsidRPr="00E81E4D">
              <w:rPr>
                <w:rFonts w:ascii="Calibri" w:hAnsi="Calibri" w:cs="Calibri"/>
                <w:b/>
              </w:rPr>
              <w:t>Contact Information</w:t>
            </w:r>
            <w:r w:rsidR="001919B9" w:rsidRPr="00E81E4D">
              <w:rPr>
                <w:rFonts w:ascii="Calibri" w:hAnsi="Calibri" w:cs="Calibri"/>
                <w:b/>
              </w:rPr>
              <w:t>:</w:t>
            </w:r>
          </w:p>
          <w:p w:rsidR="001919B9" w:rsidRPr="00E81E4D" w:rsidRDefault="009D54BC" w:rsidP="00984C91">
            <w:pPr>
              <w:ind w:left="720"/>
              <w:rPr>
                <w:rFonts w:ascii="Calibri" w:hAnsi="Calibri" w:cs="Calibri"/>
              </w:rPr>
            </w:pPr>
            <w:r w:rsidRPr="00C37647">
              <w:rPr>
                <w:rFonts w:ascii="Calibri" w:hAnsi="Calibri" w:cs="Calibri"/>
              </w:rPr>
              <w:t xml:space="preserve">Vice Chancellor of Administrative Affairs / </w:t>
            </w:r>
            <w:r w:rsidR="00884475">
              <w:rPr>
                <w:rFonts w:ascii="Calibri" w:hAnsi="Calibri" w:cs="Calibri"/>
              </w:rPr>
              <w:t>Taryn Carothers</w:t>
            </w:r>
            <w:r w:rsidRPr="00C37647">
              <w:rPr>
                <w:rFonts w:ascii="Calibri" w:hAnsi="Calibri" w:cs="Calibri"/>
              </w:rPr>
              <w:t xml:space="preserve"> / (262)</w:t>
            </w:r>
            <w:r w:rsidR="00111313">
              <w:rPr>
                <w:rFonts w:ascii="Calibri" w:hAnsi="Calibri" w:cs="Calibri"/>
              </w:rPr>
              <w:t xml:space="preserve"> </w:t>
            </w:r>
            <w:r w:rsidRPr="00C37647">
              <w:rPr>
                <w:rFonts w:ascii="Calibri" w:hAnsi="Calibri" w:cs="Calibri"/>
              </w:rPr>
              <w:t>472-1922/ c</w:t>
            </w:r>
            <w:r w:rsidR="00884475">
              <w:rPr>
                <w:rFonts w:ascii="Calibri" w:hAnsi="Calibri" w:cs="Calibri"/>
              </w:rPr>
              <w:t>arothet</w:t>
            </w:r>
            <w:r w:rsidRPr="00C37647">
              <w:rPr>
                <w:rFonts w:ascii="Calibri" w:hAnsi="Calibri" w:cs="Calibri"/>
              </w:rPr>
              <w:t>@uww.edu</w:t>
            </w:r>
          </w:p>
        </w:tc>
      </w:tr>
      <w:tr w:rsidR="001919B9" w:rsidRPr="00E81E4D" w:rsidTr="008C3C36">
        <w:tc>
          <w:tcPr>
            <w:tcW w:w="9350" w:type="dxa"/>
            <w:shd w:val="clear" w:color="auto" w:fill="E0DEFE"/>
          </w:tcPr>
          <w:p w:rsidR="001919B9" w:rsidRPr="00E81E4D" w:rsidRDefault="00C50385" w:rsidP="0096640E">
            <w:pPr>
              <w:ind w:left="720"/>
              <w:rPr>
                <w:rFonts w:ascii="Calibri" w:hAnsi="Calibri" w:cs="Calibri"/>
                <w:b/>
              </w:rPr>
            </w:pPr>
            <w:r w:rsidRPr="00E81E4D">
              <w:rPr>
                <w:rFonts w:ascii="Calibri" w:hAnsi="Calibri" w:cs="Calibri"/>
                <w:b/>
              </w:rPr>
              <w:t>Effective Date</w:t>
            </w:r>
            <w:r w:rsidR="001919B9" w:rsidRPr="00E81E4D">
              <w:rPr>
                <w:rFonts w:ascii="Calibri" w:hAnsi="Calibri" w:cs="Calibri"/>
                <w:b/>
              </w:rPr>
              <w:t>:</w:t>
            </w:r>
          </w:p>
          <w:p w:rsidR="001919B9" w:rsidRPr="00E81E4D" w:rsidRDefault="00884475" w:rsidP="0096640E">
            <w:pPr>
              <w:ind w:left="720"/>
              <w:rPr>
                <w:rFonts w:ascii="Calibri" w:hAnsi="Calibri" w:cs="Calibri"/>
              </w:rPr>
            </w:pPr>
            <w:r>
              <w:rPr>
                <w:rFonts w:ascii="Calibri" w:hAnsi="Calibri" w:cs="Calibri"/>
              </w:rPr>
              <w:t>06/22/2020</w:t>
            </w:r>
          </w:p>
        </w:tc>
      </w:tr>
      <w:tr w:rsidR="001919B9" w:rsidRPr="00E81E4D" w:rsidTr="008C3C36">
        <w:tc>
          <w:tcPr>
            <w:tcW w:w="9350" w:type="dxa"/>
            <w:shd w:val="clear" w:color="auto" w:fill="E0DEFE"/>
          </w:tcPr>
          <w:p w:rsidR="001919B9" w:rsidRPr="00E81E4D" w:rsidRDefault="00C23AEC" w:rsidP="0096640E">
            <w:pPr>
              <w:ind w:left="720"/>
              <w:rPr>
                <w:rFonts w:ascii="Calibri" w:hAnsi="Calibri" w:cs="Calibri"/>
                <w:b/>
              </w:rPr>
            </w:pPr>
            <w:r w:rsidRPr="00E81E4D">
              <w:rPr>
                <w:rFonts w:ascii="Calibri" w:hAnsi="Calibri" w:cs="Calibri"/>
                <w:b/>
              </w:rPr>
              <w:t>Revised Date</w:t>
            </w:r>
            <w:r w:rsidR="001919B9" w:rsidRPr="00E81E4D">
              <w:rPr>
                <w:rFonts w:ascii="Calibri" w:hAnsi="Calibri" w:cs="Calibri"/>
                <w:b/>
              </w:rPr>
              <w:t>:</w:t>
            </w:r>
          </w:p>
          <w:p w:rsidR="001919B9" w:rsidRPr="00E81E4D" w:rsidRDefault="00884475" w:rsidP="0096640E">
            <w:pPr>
              <w:ind w:left="720"/>
              <w:rPr>
                <w:rFonts w:ascii="Calibri" w:hAnsi="Calibri" w:cs="Calibri"/>
              </w:rPr>
            </w:pPr>
            <w:r>
              <w:rPr>
                <w:rFonts w:ascii="Calibri" w:hAnsi="Calibri" w:cs="Calibri"/>
              </w:rPr>
              <w:t>06/01/2021</w:t>
            </w:r>
          </w:p>
        </w:tc>
      </w:tr>
    </w:tbl>
    <w:p w:rsidR="00783EE4" w:rsidRPr="00E81E4D" w:rsidRDefault="00783EE4" w:rsidP="0096640E">
      <w:pPr>
        <w:spacing w:after="0"/>
        <w:jc w:val="both"/>
        <w:rPr>
          <w:rFonts w:ascii="Calibri" w:hAnsi="Calibri" w:cs="Calibri"/>
          <w:b/>
        </w:rPr>
      </w:pPr>
    </w:p>
    <w:p w:rsidR="00D12668" w:rsidRPr="00E81E4D" w:rsidRDefault="00CD1BF5" w:rsidP="0096640E">
      <w:pPr>
        <w:pStyle w:val="Heading2"/>
        <w:jc w:val="both"/>
        <w:rPr>
          <w:rFonts w:ascii="Calibri" w:hAnsi="Calibri" w:cs="Calibri"/>
          <w:color w:val="501D82"/>
        </w:rPr>
      </w:pPr>
      <w:r w:rsidRPr="00E81E4D">
        <w:rPr>
          <w:rFonts w:ascii="Calibri" w:hAnsi="Calibri" w:cs="Calibri"/>
          <w:color w:val="501D82"/>
        </w:rPr>
        <w:t>Authority</w:t>
      </w:r>
      <w:r w:rsidR="00E40CAF" w:rsidRPr="00E81E4D">
        <w:rPr>
          <w:rFonts w:ascii="Calibri" w:hAnsi="Calibri" w:cs="Calibri"/>
          <w:color w:val="501D82"/>
        </w:rPr>
        <w:t>:</w:t>
      </w:r>
    </w:p>
    <w:p w:rsidR="00806215" w:rsidRPr="00806215" w:rsidRDefault="00806215" w:rsidP="0096640E">
      <w:pPr>
        <w:spacing w:after="0"/>
        <w:rPr>
          <w:rStyle w:val="Hyperlink"/>
          <w:color w:val="auto"/>
          <w:u w:val="none"/>
        </w:rPr>
      </w:pPr>
      <w:r>
        <w:rPr>
          <w:rStyle w:val="Hyperlink"/>
          <w:rFonts w:ascii="Calibri" w:hAnsi="Calibri" w:cs="Calibri"/>
          <w:color w:val="auto"/>
          <w:u w:val="none"/>
        </w:rPr>
        <w:t>Federal Statute: Title 20 United States Code 1011f; section 117</w:t>
      </w:r>
    </w:p>
    <w:p w:rsidR="00471E40" w:rsidRPr="00E81E4D" w:rsidRDefault="00471E40" w:rsidP="0096640E">
      <w:pPr>
        <w:spacing w:after="0"/>
        <w:jc w:val="both"/>
        <w:rPr>
          <w:rStyle w:val="Hyperlink"/>
          <w:rFonts w:ascii="Calibri" w:hAnsi="Calibri" w:cs="Calibri"/>
          <w:color w:val="auto"/>
          <w:u w:val="none"/>
        </w:rPr>
      </w:pPr>
    </w:p>
    <w:p w:rsidR="00574983" w:rsidRPr="00574983" w:rsidRDefault="002F288D" w:rsidP="00574983">
      <w:pPr>
        <w:pStyle w:val="Heading2"/>
        <w:jc w:val="both"/>
        <w:rPr>
          <w:rFonts w:ascii="Calibri" w:hAnsi="Calibri" w:cs="Calibri"/>
          <w:color w:val="501D82"/>
        </w:rPr>
      </w:pPr>
      <w:r w:rsidRPr="00E81E4D">
        <w:rPr>
          <w:rFonts w:ascii="Calibri" w:hAnsi="Calibri" w:cs="Calibri"/>
          <w:color w:val="501D82"/>
        </w:rPr>
        <w:t>Objective</w:t>
      </w:r>
      <w:r w:rsidR="005D5008" w:rsidRPr="00E81E4D">
        <w:rPr>
          <w:rFonts w:ascii="Calibri" w:hAnsi="Calibri" w:cs="Calibri"/>
          <w:color w:val="501D82"/>
        </w:rPr>
        <w:t>:</w:t>
      </w:r>
    </w:p>
    <w:p w:rsidR="00B2690C" w:rsidRDefault="00884475" w:rsidP="00A66D4D">
      <w:pPr>
        <w:spacing w:after="0"/>
        <w:jc w:val="both"/>
        <w:rPr>
          <w:rFonts w:ascii="Calibri" w:hAnsi="Calibri" w:cs="Calibri"/>
        </w:rPr>
      </w:pPr>
      <w:r>
        <w:rPr>
          <w:rFonts w:ascii="Calibri" w:hAnsi="Calibri" w:cs="Calibri"/>
        </w:rPr>
        <w:t xml:space="preserve">The purpose of this Practice Directive, and its corresponding Procedure, is to </w:t>
      </w:r>
      <w:r w:rsidR="008D4FEE">
        <w:rPr>
          <w:rFonts w:ascii="Calibri" w:hAnsi="Calibri" w:cs="Calibri"/>
        </w:rPr>
        <w:t xml:space="preserve">comply with </w:t>
      </w:r>
      <w:r w:rsidR="00B2690C">
        <w:rPr>
          <w:rFonts w:ascii="Calibri" w:hAnsi="Calibri" w:cs="Calibri"/>
        </w:rPr>
        <w:t xml:space="preserve">the updated guidance regarding </w:t>
      </w:r>
      <w:r w:rsidR="00176CB0">
        <w:rPr>
          <w:rFonts w:ascii="Calibri" w:hAnsi="Calibri" w:cs="Calibri"/>
        </w:rPr>
        <w:t xml:space="preserve">Section 117 of the Higher Education Act of 1965.  The </w:t>
      </w:r>
      <w:r w:rsidR="00B2690C">
        <w:rPr>
          <w:rFonts w:ascii="Calibri" w:hAnsi="Calibri" w:cs="Calibri"/>
        </w:rPr>
        <w:t>information to be reported starting June 22, 2020, includ</w:t>
      </w:r>
      <w:r w:rsidR="00176CB0">
        <w:rPr>
          <w:rFonts w:ascii="Calibri" w:hAnsi="Calibri" w:cs="Calibri"/>
        </w:rPr>
        <w:t>es</w:t>
      </w:r>
      <w:r w:rsidR="00B2690C">
        <w:rPr>
          <w:rFonts w:ascii="Calibri" w:hAnsi="Calibri" w:cs="Calibri"/>
        </w:rPr>
        <w:t>:</w:t>
      </w:r>
    </w:p>
    <w:p w:rsidR="00B2690C" w:rsidRDefault="00B2690C" w:rsidP="00B2690C">
      <w:pPr>
        <w:pStyle w:val="ListParagraph"/>
        <w:numPr>
          <w:ilvl w:val="0"/>
          <w:numId w:val="5"/>
        </w:numPr>
        <w:spacing w:after="0"/>
        <w:jc w:val="both"/>
        <w:rPr>
          <w:rFonts w:ascii="Calibri" w:hAnsi="Calibri" w:cs="Calibri"/>
        </w:rPr>
      </w:pPr>
      <w:r>
        <w:rPr>
          <w:rFonts w:ascii="Calibri" w:hAnsi="Calibri" w:cs="Calibri"/>
        </w:rPr>
        <w:t>Payments by a foreign source of tuition</w:t>
      </w:r>
      <w:r w:rsidR="00DC326A">
        <w:rPr>
          <w:rFonts w:ascii="Calibri" w:hAnsi="Calibri" w:cs="Calibri"/>
        </w:rPr>
        <w:t xml:space="preserve"> for student(s) if the $250,000 threshold is met by a given foreign source.</w:t>
      </w:r>
    </w:p>
    <w:p w:rsidR="00DC326A" w:rsidRDefault="00DC326A" w:rsidP="00B2690C">
      <w:pPr>
        <w:pStyle w:val="ListParagraph"/>
        <w:numPr>
          <w:ilvl w:val="0"/>
          <w:numId w:val="5"/>
        </w:numPr>
        <w:spacing w:after="0"/>
        <w:jc w:val="both"/>
        <w:rPr>
          <w:rFonts w:ascii="Calibri" w:hAnsi="Calibri" w:cs="Calibri"/>
        </w:rPr>
      </w:pPr>
      <w:r>
        <w:rPr>
          <w:rFonts w:ascii="Calibri" w:hAnsi="Calibri" w:cs="Calibri"/>
        </w:rPr>
        <w:t>“An institution receiving the benefit of a gift from or a contract with a foreign source, even if through an intermediary, must disclose the gift or contract.”</w:t>
      </w:r>
    </w:p>
    <w:p w:rsidR="00471E40" w:rsidRDefault="00DC326A" w:rsidP="0096640E">
      <w:pPr>
        <w:pStyle w:val="ListParagraph"/>
        <w:numPr>
          <w:ilvl w:val="0"/>
          <w:numId w:val="5"/>
        </w:numPr>
        <w:spacing w:after="0"/>
        <w:jc w:val="both"/>
        <w:rPr>
          <w:rFonts w:ascii="Calibri" w:hAnsi="Calibri" w:cs="Calibri"/>
        </w:rPr>
      </w:pPr>
      <w:r>
        <w:rPr>
          <w:rFonts w:ascii="Calibri" w:hAnsi="Calibri" w:cs="Calibri"/>
        </w:rPr>
        <w:t>“Intellectual property license fees from a foreign licensee of a University patent and data or materials to be transferred via purchase, lease, or barter for use in research would generally be included in the statutory definition of ‘contract’.”</w:t>
      </w:r>
    </w:p>
    <w:p w:rsidR="00176CB0" w:rsidRPr="00176CB0" w:rsidRDefault="00176CB0" w:rsidP="0096640E">
      <w:pPr>
        <w:pStyle w:val="ListParagraph"/>
        <w:numPr>
          <w:ilvl w:val="0"/>
          <w:numId w:val="5"/>
        </w:numPr>
        <w:spacing w:after="0"/>
        <w:jc w:val="both"/>
        <w:rPr>
          <w:rFonts w:ascii="Calibri" w:hAnsi="Calibri" w:cs="Calibri"/>
        </w:rPr>
      </w:pPr>
    </w:p>
    <w:p w:rsidR="00783EE4" w:rsidRDefault="008C3565" w:rsidP="0096640E">
      <w:pPr>
        <w:pStyle w:val="Heading2"/>
        <w:spacing w:before="0" w:line="240" w:lineRule="auto"/>
        <w:jc w:val="both"/>
        <w:rPr>
          <w:rFonts w:ascii="Calibri" w:hAnsi="Calibri" w:cs="Calibri"/>
          <w:color w:val="501D82"/>
        </w:rPr>
      </w:pPr>
      <w:r w:rsidRPr="00E81E4D">
        <w:rPr>
          <w:rFonts w:ascii="Calibri" w:hAnsi="Calibri" w:cs="Calibri"/>
          <w:color w:val="501D82"/>
        </w:rPr>
        <w:t>Statement</w:t>
      </w:r>
      <w:r w:rsidR="005D5008" w:rsidRPr="00E81E4D">
        <w:rPr>
          <w:rFonts w:ascii="Calibri" w:hAnsi="Calibri" w:cs="Calibri"/>
          <w:color w:val="501D82"/>
        </w:rPr>
        <w:t>:</w:t>
      </w:r>
    </w:p>
    <w:p w:rsidR="00B35472" w:rsidRDefault="00B35472" w:rsidP="00B35472">
      <w:pPr>
        <w:spacing w:after="0"/>
        <w:jc w:val="both"/>
        <w:rPr>
          <w:rFonts w:ascii="Calibri" w:hAnsi="Calibri" w:cs="Calibri"/>
        </w:rPr>
      </w:pPr>
      <w:r>
        <w:rPr>
          <w:rFonts w:ascii="Calibri" w:hAnsi="Calibri" w:cs="Calibri"/>
        </w:rPr>
        <w:t>This</w:t>
      </w:r>
      <w:r w:rsidR="00176CB0">
        <w:rPr>
          <w:rFonts w:ascii="Calibri" w:hAnsi="Calibri" w:cs="Calibri"/>
        </w:rPr>
        <w:t xml:space="preserve"> practice directive and corresponding procedure outline the Foreign Influence relating to the updated Section 117 of the Higher Education Act of 1965 and ensure this new section guidance is being reported.</w:t>
      </w:r>
    </w:p>
    <w:p w:rsidR="00B35472" w:rsidRDefault="00B35472" w:rsidP="00B35472">
      <w:pPr>
        <w:spacing w:after="0"/>
        <w:jc w:val="both"/>
        <w:rPr>
          <w:rFonts w:ascii="Calibri" w:hAnsi="Calibri" w:cs="Calibri"/>
        </w:rPr>
      </w:pPr>
    </w:p>
    <w:p w:rsidR="009D0B25" w:rsidRPr="00E81E4D" w:rsidRDefault="00CD1BF5" w:rsidP="0096640E">
      <w:pPr>
        <w:pStyle w:val="Heading2"/>
        <w:spacing w:before="0"/>
        <w:jc w:val="both"/>
        <w:rPr>
          <w:rFonts w:ascii="Calibri" w:hAnsi="Calibri" w:cs="Calibri"/>
          <w:color w:val="501D82"/>
        </w:rPr>
      </w:pPr>
      <w:r w:rsidRPr="00E81E4D">
        <w:rPr>
          <w:rFonts w:ascii="Calibri" w:hAnsi="Calibri" w:cs="Calibri"/>
          <w:color w:val="501D82"/>
        </w:rPr>
        <w:t>Procedures</w:t>
      </w:r>
      <w:r w:rsidR="008C3565" w:rsidRPr="00E81E4D">
        <w:rPr>
          <w:rFonts w:ascii="Calibri" w:hAnsi="Calibri" w:cs="Calibri"/>
          <w:color w:val="501D82"/>
        </w:rPr>
        <w:t>:</w:t>
      </w:r>
    </w:p>
    <w:p w:rsidR="00EB0F8B" w:rsidRPr="00E81E4D" w:rsidRDefault="005434FA" w:rsidP="0096640E">
      <w:pPr>
        <w:spacing w:after="0"/>
        <w:jc w:val="both"/>
        <w:rPr>
          <w:rStyle w:val="Hyperlink"/>
          <w:rFonts w:ascii="Calibri" w:hAnsi="Calibri" w:cs="Calibri"/>
        </w:rPr>
      </w:pPr>
      <w:hyperlink r:id="rId8" w:history="1">
        <w:bookmarkStart w:id="0" w:name="_MON_1683108846"/>
        <w:bookmarkEnd w:id="0"/>
        <w:r>
          <w:rPr>
            <w:rFonts w:ascii="Calibri" w:hAnsi="Calibri" w:cs="Calibri"/>
            <w:color w:val="1F4E79" w:themeColor="accent1" w:themeShade="80"/>
          </w:rPr>
          <w:object w:dxaOrig="1540" w:dyaOrig="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9" o:title=""/>
            </v:shape>
            <o:OLEObject Type="Embed" ProgID="Word.Document.12" ShapeID="_x0000_i1025" DrawAspect="Icon" ObjectID="_1683110309" r:id="rId10">
              <o:FieldCodes>\s</o:FieldCodes>
            </o:OLEObject>
          </w:object>
        </w:r>
      </w:hyperlink>
    </w:p>
    <w:p w:rsidR="001E31D5" w:rsidRDefault="001E31D5" w:rsidP="0096640E">
      <w:pPr>
        <w:pStyle w:val="Heading2"/>
        <w:spacing w:before="0" w:line="240" w:lineRule="auto"/>
        <w:jc w:val="both"/>
        <w:rPr>
          <w:rFonts w:ascii="Calibri" w:hAnsi="Calibri" w:cs="Calibri"/>
          <w:color w:val="501D82"/>
        </w:rPr>
      </w:pPr>
    </w:p>
    <w:p w:rsidR="00A51E74" w:rsidRPr="00E81E4D" w:rsidRDefault="00A51E74" w:rsidP="0096640E">
      <w:pPr>
        <w:pStyle w:val="Heading2"/>
        <w:spacing w:before="0" w:line="240" w:lineRule="auto"/>
        <w:jc w:val="both"/>
        <w:rPr>
          <w:rFonts w:ascii="Calibri" w:hAnsi="Calibri" w:cs="Calibri"/>
          <w:color w:val="501D82"/>
        </w:rPr>
      </w:pPr>
      <w:bookmarkStart w:id="1" w:name="_GoBack"/>
      <w:bookmarkEnd w:id="1"/>
      <w:r w:rsidRPr="00E81E4D">
        <w:rPr>
          <w:rFonts w:ascii="Calibri" w:hAnsi="Calibri" w:cs="Calibri"/>
          <w:color w:val="501D82"/>
        </w:rPr>
        <w:t>Searchable Words:</w:t>
      </w:r>
    </w:p>
    <w:p w:rsidR="009D0B25" w:rsidRPr="00C57E72" w:rsidRDefault="00176CB0" w:rsidP="0096640E">
      <w:pPr>
        <w:spacing w:after="0"/>
        <w:rPr>
          <w:rFonts w:ascii="Calibri" w:hAnsi="Calibri" w:cs="Calibri"/>
        </w:rPr>
      </w:pPr>
      <w:r>
        <w:rPr>
          <w:rFonts w:ascii="Calibri" w:hAnsi="Calibri" w:cs="Calibri"/>
        </w:rPr>
        <w:t xml:space="preserve">Foreign Influence, Foreign Revenue, </w:t>
      </w:r>
      <w:r w:rsidR="005434FA">
        <w:rPr>
          <w:rFonts w:ascii="Calibri" w:hAnsi="Calibri" w:cs="Calibri"/>
        </w:rPr>
        <w:t>Foreign Payments</w:t>
      </w:r>
    </w:p>
    <w:sectPr w:rsidR="009D0B25" w:rsidRPr="00C57E72" w:rsidSect="00E40CAF">
      <w:headerReference w:type="even" r:id="rId11"/>
      <w:headerReference w:type="default" r:id="rId12"/>
      <w:footerReference w:type="even" r:id="rId13"/>
      <w:footerReference w:type="default" r:id="rId14"/>
      <w:headerReference w:type="first" r:id="rId15"/>
      <w:footerReference w:type="first" r:id="rId16"/>
      <w:pgSz w:w="12240" w:h="15840"/>
      <w:pgMar w:top="1152"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6EBF" w:rsidRDefault="006B6EBF" w:rsidP="000E2CC9">
      <w:pPr>
        <w:spacing w:after="0" w:line="240" w:lineRule="auto"/>
      </w:pPr>
      <w:r>
        <w:separator/>
      </w:r>
    </w:p>
  </w:endnote>
  <w:endnote w:type="continuationSeparator" w:id="0">
    <w:p w:rsidR="006B6EBF" w:rsidRDefault="006B6EBF" w:rsidP="000E2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FFC" w:rsidRDefault="007E5F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424362"/>
      <w:docPartObj>
        <w:docPartGallery w:val="Page Numbers (Bottom of Page)"/>
        <w:docPartUnique/>
      </w:docPartObj>
    </w:sdtPr>
    <w:sdtEndPr>
      <w:rPr>
        <w:rFonts w:ascii="Calibri" w:hAnsi="Calibri" w:cs="Calibri"/>
        <w:noProof/>
      </w:rPr>
    </w:sdtEndPr>
    <w:sdtContent>
      <w:p w:rsidR="001F1770" w:rsidRPr="001F1770" w:rsidRDefault="001F1770">
        <w:pPr>
          <w:pStyle w:val="Footer"/>
          <w:jc w:val="right"/>
          <w:rPr>
            <w:rFonts w:ascii="Calibri" w:hAnsi="Calibri" w:cs="Calibri"/>
          </w:rPr>
        </w:pPr>
        <w:r w:rsidRPr="001F1770">
          <w:rPr>
            <w:rFonts w:ascii="Calibri" w:hAnsi="Calibri" w:cs="Calibri"/>
          </w:rPr>
          <w:fldChar w:fldCharType="begin"/>
        </w:r>
        <w:r w:rsidRPr="001F1770">
          <w:rPr>
            <w:rFonts w:ascii="Calibri" w:hAnsi="Calibri" w:cs="Calibri"/>
          </w:rPr>
          <w:instrText xml:space="preserve"> PAGE   \* MERGEFORMAT </w:instrText>
        </w:r>
        <w:r w:rsidRPr="001F1770">
          <w:rPr>
            <w:rFonts w:ascii="Calibri" w:hAnsi="Calibri" w:cs="Calibri"/>
          </w:rPr>
          <w:fldChar w:fldCharType="separate"/>
        </w:r>
        <w:r w:rsidR="00D77951">
          <w:rPr>
            <w:rFonts w:ascii="Calibri" w:hAnsi="Calibri" w:cs="Calibri"/>
            <w:noProof/>
          </w:rPr>
          <w:t>2</w:t>
        </w:r>
        <w:r w:rsidRPr="001F1770">
          <w:rPr>
            <w:rFonts w:ascii="Calibri" w:hAnsi="Calibri" w:cs="Calibri"/>
            <w:noProof/>
          </w:rPr>
          <w:fldChar w:fldCharType="end"/>
        </w:r>
      </w:p>
    </w:sdtContent>
  </w:sdt>
  <w:p w:rsidR="000E2CC9" w:rsidRDefault="000E2C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FFC" w:rsidRDefault="007E5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6EBF" w:rsidRDefault="006B6EBF" w:rsidP="000E2CC9">
      <w:pPr>
        <w:spacing w:after="0" w:line="240" w:lineRule="auto"/>
      </w:pPr>
      <w:r>
        <w:separator/>
      </w:r>
    </w:p>
  </w:footnote>
  <w:footnote w:type="continuationSeparator" w:id="0">
    <w:p w:rsidR="006B6EBF" w:rsidRDefault="006B6EBF" w:rsidP="000E2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FFC" w:rsidRDefault="007E5F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0136664"/>
      <w:docPartObj>
        <w:docPartGallery w:val="Watermarks"/>
        <w:docPartUnique/>
      </w:docPartObj>
    </w:sdtPr>
    <w:sdtEndPr/>
    <w:sdtContent>
      <w:p w:rsidR="007E5FFC" w:rsidRDefault="001E31D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FFC" w:rsidRDefault="007E5F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93BA6"/>
    <w:multiLevelType w:val="hybridMultilevel"/>
    <w:tmpl w:val="FDA40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C0572D"/>
    <w:multiLevelType w:val="hybridMultilevel"/>
    <w:tmpl w:val="546C3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50D23"/>
    <w:multiLevelType w:val="hybridMultilevel"/>
    <w:tmpl w:val="3EBE7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B4BDA"/>
    <w:multiLevelType w:val="hybridMultilevel"/>
    <w:tmpl w:val="3C40E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0713D8"/>
    <w:multiLevelType w:val="hybridMultilevel"/>
    <w:tmpl w:val="7CE4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A98"/>
    <w:rsid w:val="0001074F"/>
    <w:rsid w:val="00020121"/>
    <w:rsid w:val="00041A7C"/>
    <w:rsid w:val="00063AB3"/>
    <w:rsid w:val="0006677F"/>
    <w:rsid w:val="000B4719"/>
    <w:rsid w:val="000C08B0"/>
    <w:rsid w:val="000E0CB1"/>
    <w:rsid w:val="000E2CC9"/>
    <w:rsid w:val="00111313"/>
    <w:rsid w:val="001205A5"/>
    <w:rsid w:val="00171848"/>
    <w:rsid w:val="00176CB0"/>
    <w:rsid w:val="001919B9"/>
    <w:rsid w:val="001A1D0E"/>
    <w:rsid w:val="001A240B"/>
    <w:rsid w:val="001C02EB"/>
    <w:rsid w:val="001E31D5"/>
    <w:rsid w:val="001F1770"/>
    <w:rsid w:val="001F3FAA"/>
    <w:rsid w:val="00203C8C"/>
    <w:rsid w:val="002177B2"/>
    <w:rsid w:val="002405D3"/>
    <w:rsid w:val="00260CA6"/>
    <w:rsid w:val="002F288D"/>
    <w:rsid w:val="003171AB"/>
    <w:rsid w:val="00354342"/>
    <w:rsid w:val="00383CBD"/>
    <w:rsid w:val="003A589E"/>
    <w:rsid w:val="003E6242"/>
    <w:rsid w:val="003F4C00"/>
    <w:rsid w:val="00413CE0"/>
    <w:rsid w:val="00416394"/>
    <w:rsid w:val="00435F68"/>
    <w:rsid w:val="00443AC0"/>
    <w:rsid w:val="00471E40"/>
    <w:rsid w:val="004946AE"/>
    <w:rsid w:val="00535D3E"/>
    <w:rsid w:val="00542CE9"/>
    <w:rsid w:val="005434FA"/>
    <w:rsid w:val="00545F91"/>
    <w:rsid w:val="00553699"/>
    <w:rsid w:val="00574983"/>
    <w:rsid w:val="00582597"/>
    <w:rsid w:val="005A6A98"/>
    <w:rsid w:val="005D5008"/>
    <w:rsid w:val="005D6B03"/>
    <w:rsid w:val="005E15DC"/>
    <w:rsid w:val="00647765"/>
    <w:rsid w:val="00672EBE"/>
    <w:rsid w:val="006856E3"/>
    <w:rsid w:val="006967FA"/>
    <w:rsid w:val="006A1532"/>
    <w:rsid w:val="006B6EBF"/>
    <w:rsid w:val="006D5642"/>
    <w:rsid w:val="00711A25"/>
    <w:rsid w:val="00783EE4"/>
    <w:rsid w:val="00787137"/>
    <w:rsid w:val="00795D2C"/>
    <w:rsid w:val="007E27B7"/>
    <w:rsid w:val="007E5FFC"/>
    <w:rsid w:val="007F581E"/>
    <w:rsid w:val="00806215"/>
    <w:rsid w:val="00816CF9"/>
    <w:rsid w:val="008565CC"/>
    <w:rsid w:val="00884475"/>
    <w:rsid w:val="008877C9"/>
    <w:rsid w:val="008B1D4F"/>
    <w:rsid w:val="008B30B6"/>
    <w:rsid w:val="008C109F"/>
    <w:rsid w:val="008C3565"/>
    <w:rsid w:val="008C3C36"/>
    <w:rsid w:val="008D4FEE"/>
    <w:rsid w:val="008E21D5"/>
    <w:rsid w:val="00903684"/>
    <w:rsid w:val="00917FB9"/>
    <w:rsid w:val="00920972"/>
    <w:rsid w:val="0094413F"/>
    <w:rsid w:val="00944E61"/>
    <w:rsid w:val="0094684C"/>
    <w:rsid w:val="009644CB"/>
    <w:rsid w:val="009646EE"/>
    <w:rsid w:val="0096640E"/>
    <w:rsid w:val="00984C91"/>
    <w:rsid w:val="009930BE"/>
    <w:rsid w:val="009B0D6E"/>
    <w:rsid w:val="009C74DE"/>
    <w:rsid w:val="009D0B25"/>
    <w:rsid w:val="009D54BC"/>
    <w:rsid w:val="00A51E74"/>
    <w:rsid w:val="00A66D4D"/>
    <w:rsid w:val="00A672AC"/>
    <w:rsid w:val="00A90A0D"/>
    <w:rsid w:val="00AF0B55"/>
    <w:rsid w:val="00AF7DDA"/>
    <w:rsid w:val="00B2690C"/>
    <w:rsid w:val="00B35472"/>
    <w:rsid w:val="00B634B8"/>
    <w:rsid w:val="00B67EDF"/>
    <w:rsid w:val="00B773B9"/>
    <w:rsid w:val="00B9102F"/>
    <w:rsid w:val="00BD3616"/>
    <w:rsid w:val="00C07DC2"/>
    <w:rsid w:val="00C15380"/>
    <w:rsid w:val="00C23AEC"/>
    <w:rsid w:val="00C32439"/>
    <w:rsid w:val="00C50385"/>
    <w:rsid w:val="00C57E72"/>
    <w:rsid w:val="00C84276"/>
    <w:rsid w:val="00CB241B"/>
    <w:rsid w:val="00CD1BF5"/>
    <w:rsid w:val="00D124FF"/>
    <w:rsid w:val="00D12668"/>
    <w:rsid w:val="00D47A6F"/>
    <w:rsid w:val="00D77951"/>
    <w:rsid w:val="00D82375"/>
    <w:rsid w:val="00DB5455"/>
    <w:rsid w:val="00DB7A89"/>
    <w:rsid w:val="00DC326A"/>
    <w:rsid w:val="00DD2C0B"/>
    <w:rsid w:val="00DD5151"/>
    <w:rsid w:val="00DF10CD"/>
    <w:rsid w:val="00DF30FA"/>
    <w:rsid w:val="00E12E92"/>
    <w:rsid w:val="00E153C3"/>
    <w:rsid w:val="00E21673"/>
    <w:rsid w:val="00E22E65"/>
    <w:rsid w:val="00E40CAF"/>
    <w:rsid w:val="00E74A42"/>
    <w:rsid w:val="00E81E4D"/>
    <w:rsid w:val="00E85776"/>
    <w:rsid w:val="00EB0F8B"/>
    <w:rsid w:val="00ED0398"/>
    <w:rsid w:val="00EE0639"/>
    <w:rsid w:val="00EE21CC"/>
    <w:rsid w:val="00EE42A8"/>
    <w:rsid w:val="00F5391D"/>
    <w:rsid w:val="00F74628"/>
    <w:rsid w:val="00FC617D"/>
    <w:rsid w:val="00FD6412"/>
    <w:rsid w:val="00FE6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B11388"/>
  <w15:chartTrackingRefBased/>
  <w15:docId w15:val="{DDCA82BE-0357-4358-B18A-E7045B14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1848"/>
    <w:rPr>
      <w:rFonts w:ascii="Times New Roman" w:hAnsi="Times New Roman"/>
    </w:rPr>
  </w:style>
  <w:style w:type="paragraph" w:styleId="Heading1">
    <w:name w:val="heading 1"/>
    <w:basedOn w:val="Normal"/>
    <w:next w:val="Normal"/>
    <w:link w:val="Heading1Char"/>
    <w:uiPriority w:val="9"/>
    <w:qFormat/>
    <w:rsid w:val="00B634B8"/>
    <w:pPr>
      <w:keepNext/>
      <w:keepLines/>
      <w:spacing w:before="240" w:after="0"/>
      <w:outlineLvl w:val="0"/>
    </w:pPr>
    <w:rPr>
      <w:rFonts w:eastAsiaTheme="majorEastAsia" w:cstheme="majorBidi"/>
      <w:b/>
      <w:color w:val="3A1498"/>
      <w:sz w:val="32"/>
      <w:szCs w:val="32"/>
    </w:rPr>
  </w:style>
  <w:style w:type="paragraph" w:styleId="Heading2">
    <w:name w:val="heading 2"/>
    <w:basedOn w:val="Normal"/>
    <w:next w:val="Normal"/>
    <w:link w:val="Heading2Char"/>
    <w:uiPriority w:val="9"/>
    <w:unhideWhenUsed/>
    <w:qFormat/>
    <w:rsid w:val="00B634B8"/>
    <w:pPr>
      <w:keepNext/>
      <w:keepLines/>
      <w:spacing w:before="40" w:after="0"/>
      <w:outlineLvl w:val="1"/>
    </w:pPr>
    <w:rPr>
      <w:rFonts w:eastAsiaTheme="majorEastAsia" w:cstheme="majorBidi"/>
      <w:color w:val="3A1498"/>
      <w:sz w:val="26"/>
      <w:szCs w:val="26"/>
    </w:rPr>
  </w:style>
  <w:style w:type="paragraph" w:styleId="Heading3">
    <w:name w:val="heading 3"/>
    <w:basedOn w:val="Normal"/>
    <w:next w:val="Normal"/>
    <w:link w:val="Heading3Char"/>
    <w:uiPriority w:val="9"/>
    <w:semiHidden/>
    <w:unhideWhenUsed/>
    <w:qFormat/>
    <w:rsid w:val="00D12668"/>
    <w:pPr>
      <w:keepNext/>
      <w:keepLines/>
      <w:spacing w:before="40" w:after="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6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E06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0639"/>
    <w:rPr>
      <w:rFonts w:ascii="Segoe UI" w:hAnsi="Segoe UI" w:cs="Segoe UI"/>
      <w:sz w:val="18"/>
      <w:szCs w:val="18"/>
    </w:rPr>
  </w:style>
  <w:style w:type="character" w:customStyle="1" w:styleId="Heading1Char">
    <w:name w:val="Heading 1 Char"/>
    <w:basedOn w:val="DefaultParagraphFont"/>
    <w:link w:val="Heading1"/>
    <w:uiPriority w:val="9"/>
    <w:rsid w:val="00B634B8"/>
    <w:rPr>
      <w:rFonts w:ascii="Times New Roman" w:eastAsiaTheme="majorEastAsia" w:hAnsi="Times New Roman" w:cstheme="majorBidi"/>
      <w:b/>
      <w:color w:val="3A1498"/>
      <w:sz w:val="32"/>
      <w:szCs w:val="32"/>
    </w:rPr>
  </w:style>
  <w:style w:type="character" w:customStyle="1" w:styleId="Heading2Char">
    <w:name w:val="Heading 2 Char"/>
    <w:basedOn w:val="DefaultParagraphFont"/>
    <w:link w:val="Heading2"/>
    <w:uiPriority w:val="9"/>
    <w:rsid w:val="00B634B8"/>
    <w:rPr>
      <w:rFonts w:ascii="Times New Roman" w:eastAsiaTheme="majorEastAsia" w:hAnsi="Times New Roman" w:cstheme="majorBidi"/>
      <w:color w:val="3A1498"/>
      <w:sz w:val="26"/>
      <w:szCs w:val="26"/>
    </w:rPr>
  </w:style>
  <w:style w:type="character" w:customStyle="1" w:styleId="Heading3Char">
    <w:name w:val="Heading 3 Char"/>
    <w:basedOn w:val="DefaultParagraphFont"/>
    <w:link w:val="Heading3"/>
    <w:uiPriority w:val="9"/>
    <w:semiHidden/>
    <w:rsid w:val="00D12668"/>
    <w:rPr>
      <w:rFonts w:ascii="Times New Roman" w:eastAsiaTheme="majorEastAsia" w:hAnsi="Times New Roman" w:cstheme="majorBidi"/>
      <w:b/>
      <w:color w:val="000000" w:themeColor="text1"/>
      <w:szCs w:val="24"/>
    </w:rPr>
  </w:style>
  <w:style w:type="character" w:styleId="Hyperlink">
    <w:name w:val="Hyperlink"/>
    <w:basedOn w:val="DefaultParagraphFont"/>
    <w:uiPriority w:val="99"/>
    <w:unhideWhenUsed/>
    <w:rsid w:val="00DB7A89"/>
    <w:rPr>
      <w:color w:val="0563C1" w:themeColor="hyperlink"/>
      <w:u w:val="single"/>
    </w:rPr>
  </w:style>
  <w:style w:type="character" w:styleId="FollowedHyperlink">
    <w:name w:val="FollowedHyperlink"/>
    <w:basedOn w:val="DefaultParagraphFont"/>
    <w:uiPriority w:val="99"/>
    <w:semiHidden/>
    <w:unhideWhenUsed/>
    <w:rsid w:val="00545F91"/>
    <w:rPr>
      <w:color w:val="954F72" w:themeColor="followedHyperlink"/>
      <w:u w:val="single"/>
    </w:rPr>
  </w:style>
  <w:style w:type="paragraph" w:styleId="Header">
    <w:name w:val="header"/>
    <w:basedOn w:val="Normal"/>
    <w:link w:val="HeaderChar"/>
    <w:uiPriority w:val="99"/>
    <w:unhideWhenUsed/>
    <w:rsid w:val="000E2C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CC9"/>
    <w:rPr>
      <w:rFonts w:ascii="Times New Roman" w:hAnsi="Times New Roman"/>
    </w:rPr>
  </w:style>
  <w:style w:type="paragraph" w:styleId="Footer">
    <w:name w:val="footer"/>
    <w:basedOn w:val="Normal"/>
    <w:link w:val="FooterChar"/>
    <w:uiPriority w:val="99"/>
    <w:unhideWhenUsed/>
    <w:rsid w:val="000E2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CC9"/>
    <w:rPr>
      <w:rFonts w:ascii="Times New Roman" w:hAnsi="Times New Roman"/>
    </w:rPr>
  </w:style>
  <w:style w:type="paragraph" w:styleId="ListParagraph">
    <w:name w:val="List Paragraph"/>
    <w:basedOn w:val="Normal"/>
    <w:uiPriority w:val="34"/>
    <w:qFormat/>
    <w:rsid w:val="000201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569516">
      <w:bodyDiv w:val="1"/>
      <w:marLeft w:val="0"/>
      <w:marRight w:val="0"/>
      <w:marTop w:val="0"/>
      <w:marBottom w:val="0"/>
      <w:divBdr>
        <w:top w:val="none" w:sz="0" w:space="0" w:color="auto"/>
        <w:left w:val="none" w:sz="0" w:space="0" w:color="auto"/>
        <w:bottom w:val="none" w:sz="0" w:space="0" w:color="auto"/>
        <w:right w:val="none" w:sz="0" w:space="0" w:color="auto"/>
      </w:divBdr>
    </w:div>
    <w:div w:id="181706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oreign%20Influence%20Procedures.doc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package" Target="embeddings/Microsoft_Word_Document.doc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Joseph Heitman</dc:creator>
  <cp:keywords/>
  <dc:description/>
  <cp:lastModifiedBy> </cp:lastModifiedBy>
  <cp:revision>7</cp:revision>
  <cp:lastPrinted>2014-08-01T21:22:00Z</cp:lastPrinted>
  <dcterms:created xsi:type="dcterms:W3CDTF">2021-05-19T19:17:00Z</dcterms:created>
  <dcterms:modified xsi:type="dcterms:W3CDTF">2021-05-21T18:52:00Z</dcterms:modified>
</cp:coreProperties>
</file>