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47A7" w14:textId="77777777" w:rsidR="00EA51A6" w:rsidRDefault="00EA51A6" w:rsidP="009930BE">
      <w:pPr>
        <w:spacing w:after="0"/>
        <w:rPr>
          <w:rFonts w:asciiTheme="minorHAnsi" w:hAnsiTheme="minorHAnsi" w:cstheme="minorHAnsi"/>
        </w:rPr>
      </w:pPr>
    </w:p>
    <w:p w14:paraId="5166A7D6" w14:textId="77777777" w:rsidR="007C4AA0" w:rsidRPr="009930BE" w:rsidRDefault="003A589E" w:rsidP="009930BE">
      <w:pPr>
        <w:spacing w:after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765A34B" wp14:editId="513655A7">
            <wp:extent cx="2574290" cy="552450"/>
            <wp:effectExtent l="0" t="0" r="0" b="0"/>
            <wp:docPr id="3" name="Picture 3" descr="Image result for uw-whitew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uw-whitewa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923C" w14:textId="77777777" w:rsidR="00711A25" w:rsidRPr="009930BE" w:rsidRDefault="00711A25" w:rsidP="009930BE">
      <w:pPr>
        <w:spacing w:after="0"/>
        <w:rPr>
          <w:rFonts w:asciiTheme="minorHAnsi" w:hAnsiTheme="minorHAnsi" w:cstheme="minorHAnsi"/>
        </w:rPr>
      </w:pPr>
    </w:p>
    <w:p w14:paraId="7093EB4D" w14:textId="77777777" w:rsidR="001919B9" w:rsidRPr="00610F5B" w:rsidRDefault="00955793" w:rsidP="0096640E">
      <w:pPr>
        <w:pStyle w:val="Heading1"/>
        <w:spacing w:before="0"/>
        <w:jc w:val="both"/>
        <w:rPr>
          <w:rFonts w:asciiTheme="minorHAnsi" w:hAnsiTheme="minorHAnsi" w:cstheme="minorHAnsi"/>
          <w:color w:val="501D82"/>
        </w:rPr>
      </w:pPr>
      <w:r>
        <w:rPr>
          <w:rFonts w:asciiTheme="minorHAnsi" w:hAnsiTheme="minorHAnsi" w:cstheme="minorHAnsi"/>
          <w:color w:val="501D82"/>
        </w:rPr>
        <w:t>Export Controls</w:t>
      </w:r>
    </w:p>
    <w:p w14:paraId="75B6CB33" w14:textId="77777777" w:rsidR="006A1532" w:rsidRPr="00610F5B" w:rsidRDefault="006A1532" w:rsidP="0096640E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0DEFE"/>
        <w:tblLook w:val="04A0" w:firstRow="1" w:lastRow="0" w:firstColumn="1" w:lastColumn="0" w:noHBand="0" w:noVBand="1"/>
      </w:tblPr>
      <w:tblGrid>
        <w:gridCol w:w="9350"/>
      </w:tblGrid>
      <w:tr w:rsidR="00610F5B" w:rsidRPr="00610F5B" w14:paraId="1C0DEA23" w14:textId="77777777" w:rsidTr="00775D8D">
        <w:tc>
          <w:tcPr>
            <w:tcW w:w="9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DEFE"/>
          </w:tcPr>
          <w:p w14:paraId="009E68D4" w14:textId="77777777" w:rsidR="00610F5B" w:rsidRPr="00610F5B" w:rsidRDefault="00610F5B" w:rsidP="00610F5B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610F5B">
              <w:rPr>
                <w:rFonts w:asciiTheme="minorHAnsi" w:hAnsiTheme="minorHAnsi" w:cstheme="minorHAnsi"/>
                <w:b/>
              </w:rPr>
              <w:t>Division:</w:t>
            </w:r>
          </w:p>
          <w:p w14:paraId="582845E3" w14:textId="25DD66D4" w:rsidR="00610F5B" w:rsidRPr="00610F5B" w:rsidRDefault="005C1BC5" w:rsidP="00610F5B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Affairs</w:t>
            </w:r>
          </w:p>
        </w:tc>
      </w:tr>
      <w:tr w:rsidR="001919B9" w:rsidRPr="00610F5B" w14:paraId="2F358368" w14:textId="77777777" w:rsidTr="008C3C36">
        <w:tc>
          <w:tcPr>
            <w:tcW w:w="9350" w:type="dxa"/>
            <w:shd w:val="clear" w:color="auto" w:fill="E0DEFE"/>
          </w:tcPr>
          <w:p w14:paraId="5CDC0965" w14:textId="77777777" w:rsidR="00610F5B" w:rsidRPr="00EA51A6" w:rsidRDefault="00610F5B" w:rsidP="00610F5B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EA51A6">
              <w:rPr>
                <w:rFonts w:asciiTheme="minorHAnsi" w:hAnsiTheme="minorHAnsi" w:cstheme="minorHAnsi"/>
                <w:b/>
              </w:rPr>
              <w:t>Department:</w:t>
            </w:r>
          </w:p>
          <w:p w14:paraId="006148E1" w14:textId="29B4F3D8" w:rsidR="001919B9" w:rsidRPr="00610F5B" w:rsidRDefault="00565100" w:rsidP="00610F5B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of Research and Sponsored Programs (ORSP)</w:t>
            </w:r>
          </w:p>
        </w:tc>
      </w:tr>
      <w:tr w:rsidR="001919B9" w:rsidRPr="00610F5B" w14:paraId="51D2E00F" w14:textId="77777777" w:rsidTr="008C3C36">
        <w:tc>
          <w:tcPr>
            <w:tcW w:w="9350" w:type="dxa"/>
            <w:shd w:val="clear" w:color="auto" w:fill="E0DEFE"/>
          </w:tcPr>
          <w:p w14:paraId="32FEF1F1" w14:textId="77777777" w:rsidR="00610F5B" w:rsidRPr="009D24ED" w:rsidRDefault="00610F5B" w:rsidP="00610F5B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9D24ED">
              <w:rPr>
                <w:rFonts w:asciiTheme="minorHAnsi" w:hAnsiTheme="minorHAnsi" w:cstheme="minorHAnsi"/>
                <w:b/>
              </w:rPr>
              <w:t>Contact Information:</w:t>
            </w:r>
          </w:p>
          <w:p w14:paraId="79948583" w14:textId="1A6626BA" w:rsidR="001919B9" w:rsidRPr="00610F5B" w:rsidRDefault="00EE5C74" w:rsidP="007C7369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Director </w:t>
            </w:r>
            <w:r w:rsidR="006D71B0">
              <w:rPr>
                <w:rFonts w:asciiTheme="minorHAnsi" w:hAnsiTheme="minorHAnsi" w:cstheme="minorHAnsi"/>
              </w:rPr>
              <w:t>of the Office of Research and Sponsored Programs</w:t>
            </w:r>
            <w:r w:rsidR="007C7369" w:rsidRPr="007C7369">
              <w:rPr>
                <w:rFonts w:asciiTheme="minorHAnsi" w:hAnsiTheme="minorHAnsi" w:cstheme="minorHAnsi"/>
              </w:rPr>
              <w:t xml:space="preserve"> / </w:t>
            </w:r>
            <w:r w:rsidR="006D71B0">
              <w:rPr>
                <w:rFonts w:asciiTheme="minorHAnsi" w:hAnsiTheme="minorHAnsi" w:cstheme="minorHAnsi"/>
              </w:rPr>
              <w:t>Carl Fox</w:t>
            </w:r>
            <w:r w:rsidR="007C7369" w:rsidRPr="007C7369">
              <w:rPr>
                <w:rFonts w:asciiTheme="minorHAnsi" w:hAnsiTheme="minorHAnsi" w:cstheme="minorHAnsi"/>
              </w:rPr>
              <w:t xml:space="preserve"> / </w:t>
            </w:r>
            <w:r w:rsidR="006D71B0">
              <w:rPr>
                <w:rFonts w:asciiTheme="minorHAnsi" w:hAnsiTheme="minorHAnsi" w:cstheme="minorHAnsi"/>
              </w:rPr>
              <w:t xml:space="preserve">(262) </w:t>
            </w:r>
            <w:r w:rsidR="00E03E4D">
              <w:rPr>
                <w:rFonts w:asciiTheme="minorHAnsi" w:hAnsiTheme="minorHAnsi" w:cstheme="minorHAnsi"/>
              </w:rPr>
              <w:t>472-5289</w:t>
            </w:r>
            <w:r w:rsidR="007C7369" w:rsidRPr="007C7369">
              <w:rPr>
                <w:rFonts w:asciiTheme="minorHAnsi" w:hAnsiTheme="minorHAnsi" w:cstheme="minorHAnsi"/>
              </w:rPr>
              <w:t xml:space="preserve"> /</w:t>
            </w:r>
            <w:r w:rsidR="00E51DFB">
              <w:rPr>
                <w:rFonts w:asciiTheme="minorHAnsi" w:hAnsiTheme="minorHAnsi" w:cstheme="minorHAnsi"/>
              </w:rPr>
              <w:t xml:space="preserve"> </w:t>
            </w:r>
            <w:r w:rsidR="00E03E4D">
              <w:rPr>
                <w:rFonts w:asciiTheme="minorHAnsi" w:hAnsiTheme="minorHAnsi" w:cstheme="minorHAnsi"/>
              </w:rPr>
              <w:t>foxc</w:t>
            </w:r>
            <w:r w:rsidR="007C7369" w:rsidRPr="007C7369">
              <w:rPr>
                <w:rFonts w:asciiTheme="minorHAnsi" w:hAnsiTheme="minorHAnsi" w:cstheme="minorHAnsi"/>
              </w:rPr>
              <w:t>@uww.edu</w:t>
            </w:r>
          </w:p>
        </w:tc>
      </w:tr>
      <w:tr w:rsidR="001919B9" w:rsidRPr="00610F5B" w14:paraId="140BA8C4" w14:textId="77777777" w:rsidTr="008C3C36">
        <w:tc>
          <w:tcPr>
            <w:tcW w:w="9350" w:type="dxa"/>
            <w:shd w:val="clear" w:color="auto" w:fill="E0DEFE"/>
          </w:tcPr>
          <w:p w14:paraId="21EA87D4" w14:textId="77777777" w:rsidR="00610F5B" w:rsidRPr="009D24ED" w:rsidRDefault="00610F5B" w:rsidP="00610F5B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9D24ED">
              <w:rPr>
                <w:rFonts w:asciiTheme="minorHAnsi" w:hAnsiTheme="minorHAnsi" w:cstheme="minorHAnsi"/>
                <w:b/>
              </w:rPr>
              <w:t>Effective Date:</w:t>
            </w:r>
          </w:p>
          <w:p w14:paraId="3D698477" w14:textId="071EC651" w:rsidR="001919B9" w:rsidRPr="00610F5B" w:rsidRDefault="00D6163F" w:rsidP="00E51DFB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05/19/2021</w:t>
            </w:r>
          </w:p>
        </w:tc>
      </w:tr>
      <w:tr w:rsidR="001919B9" w:rsidRPr="00610F5B" w14:paraId="0C4B4A5E" w14:textId="77777777" w:rsidTr="008C3C36">
        <w:tc>
          <w:tcPr>
            <w:tcW w:w="9350" w:type="dxa"/>
            <w:shd w:val="clear" w:color="auto" w:fill="E0DEFE"/>
          </w:tcPr>
          <w:p w14:paraId="1E563162" w14:textId="77777777" w:rsidR="00610F5B" w:rsidRPr="009D24ED" w:rsidRDefault="00610F5B" w:rsidP="00610F5B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9D24ED">
              <w:rPr>
                <w:rFonts w:asciiTheme="minorHAnsi" w:hAnsiTheme="minorHAnsi" w:cstheme="minorHAnsi"/>
                <w:b/>
              </w:rPr>
              <w:t>Revised Date:</w:t>
            </w:r>
          </w:p>
          <w:p w14:paraId="6BB14FB2" w14:textId="7F151A39" w:rsidR="001919B9" w:rsidRPr="00610F5B" w:rsidRDefault="00ED7163" w:rsidP="00610F5B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3F709E70" w14:textId="77777777" w:rsidR="00783EE4" w:rsidRPr="00610F5B" w:rsidRDefault="00783EE4" w:rsidP="0096640E">
      <w:pPr>
        <w:spacing w:after="0"/>
        <w:jc w:val="both"/>
        <w:rPr>
          <w:rFonts w:asciiTheme="minorHAnsi" w:hAnsiTheme="minorHAnsi" w:cstheme="minorHAnsi"/>
          <w:b/>
        </w:rPr>
      </w:pPr>
    </w:p>
    <w:p w14:paraId="5E7B018F" w14:textId="77777777" w:rsidR="00610F5B" w:rsidRDefault="00610F5B" w:rsidP="00610F5B">
      <w:pPr>
        <w:pStyle w:val="Heading2"/>
        <w:rPr>
          <w:rFonts w:asciiTheme="minorHAnsi" w:hAnsiTheme="minorHAnsi" w:cstheme="minorHAnsi"/>
        </w:rPr>
      </w:pPr>
      <w:r w:rsidRPr="00610F5B">
        <w:rPr>
          <w:rFonts w:asciiTheme="minorHAnsi" w:hAnsiTheme="minorHAnsi" w:cstheme="minorHAnsi"/>
        </w:rPr>
        <w:t>Authority:</w:t>
      </w:r>
    </w:p>
    <w:p w14:paraId="2FF7A0BE" w14:textId="77777777" w:rsidR="009E13F3" w:rsidRPr="009E13F3" w:rsidRDefault="009E13F3" w:rsidP="0095579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Bureau of Industry and Security: </w:t>
      </w:r>
      <w:hyperlink r:id="rId8" w:history="1">
        <w:r w:rsidRPr="009E13F3">
          <w:rPr>
            <w:rStyle w:val="Hyperlink"/>
            <w:rFonts w:asciiTheme="minorHAnsi" w:hAnsiTheme="minorHAnsi" w:cstheme="minorHAnsi"/>
          </w:rPr>
          <w:t>Part 760 - Restrictive Trade Practices or Boycotts</w:t>
        </w:r>
      </w:hyperlink>
      <w:r>
        <w:rPr>
          <w:rFonts w:asciiTheme="minorHAnsi" w:hAnsiTheme="minorHAnsi" w:cstheme="minorHAnsi"/>
        </w:rPr>
        <w:t xml:space="preserve">, </w:t>
      </w:r>
      <w:hyperlink r:id="rId9" w:history="1">
        <w:r w:rsidR="008224D4" w:rsidRPr="008224D4">
          <w:rPr>
            <w:rStyle w:val="Hyperlink"/>
            <w:rFonts w:asciiTheme="minorHAnsi" w:hAnsiTheme="minorHAnsi" w:cstheme="minorHAnsi"/>
          </w:rPr>
          <w:t>Entity List</w:t>
        </w:r>
      </w:hyperlink>
      <w:r w:rsidR="008224D4">
        <w:rPr>
          <w:rFonts w:asciiTheme="minorHAnsi" w:hAnsiTheme="minorHAnsi" w:cstheme="minorHAnsi"/>
        </w:rPr>
        <w:t xml:space="preserve">, </w:t>
      </w:r>
      <w:hyperlink r:id="rId10" w:history="1">
        <w:r w:rsidR="008224D4" w:rsidRPr="008224D4">
          <w:rPr>
            <w:rStyle w:val="Hyperlink"/>
            <w:rFonts w:asciiTheme="minorHAnsi" w:hAnsiTheme="minorHAnsi" w:cstheme="minorHAnsi"/>
          </w:rPr>
          <w:t>Commerce Control List</w:t>
        </w:r>
      </w:hyperlink>
    </w:p>
    <w:p w14:paraId="39FFEEFE" w14:textId="3AB25CBD" w:rsidR="009B1B18" w:rsidRDefault="009B1B18" w:rsidP="009557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Treasury Department’s Office of Foreign Assets Control: </w:t>
      </w:r>
      <w:hyperlink r:id="rId11" w:history="1">
        <w:r w:rsidR="00314FFD" w:rsidRPr="00314FFD">
          <w:rPr>
            <w:rStyle w:val="Hyperlink"/>
            <w:rFonts w:asciiTheme="minorHAnsi" w:hAnsiTheme="minorHAnsi" w:cstheme="minorHAnsi"/>
          </w:rPr>
          <w:t>Sanctions Programs and Information</w:t>
        </w:r>
      </w:hyperlink>
    </w:p>
    <w:p w14:paraId="23EB6928" w14:textId="06F9D8D4" w:rsidR="008C3977" w:rsidRPr="009B1B18" w:rsidRDefault="008224D4" w:rsidP="00955793">
      <w:pPr>
        <w:spacing w:after="0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hAnsiTheme="minorHAnsi" w:cstheme="minorHAnsi"/>
        </w:rPr>
        <w:t xml:space="preserve">Department of State’s International Traffic in Arms Regulations: </w:t>
      </w:r>
      <w:hyperlink r:id="rId12" w:anchor="maincontent" w:history="1">
        <w:r w:rsidRPr="008224D4">
          <w:rPr>
            <w:rStyle w:val="Hyperlink"/>
            <w:rFonts w:asciiTheme="minorHAnsi" w:hAnsiTheme="minorHAnsi" w:cstheme="minorHAnsi"/>
          </w:rPr>
          <w:t>The U.S. Munitions List</w:t>
        </w:r>
      </w:hyperlink>
    </w:p>
    <w:p w14:paraId="75C9BB60" w14:textId="1AE202F2" w:rsidR="000E0781" w:rsidRPr="00955793" w:rsidRDefault="00955793" w:rsidP="00955793">
      <w:pPr>
        <w:pStyle w:val="Heading2"/>
        <w:spacing w:before="0"/>
        <w:jc w:val="both"/>
        <w:rPr>
          <w:rFonts w:ascii="Calibri" w:hAnsi="Calibri" w:cs="Calibri"/>
          <w:color w:val="auto"/>
          <w:sz w:val="22"/>
          <w:szCs w:val="22"/>
        </w:rPr>
      </w:pPr>
      <w:r w:rsidRPr="00955793">
        <w:rPr>
          <w:rFonts w:ascii="Calibri" w:hAnsi="Calibri" w:cs="Calibri"/>
          <w:color w:val="auto"/>
          <w:sz w:val="22"/>
          <w:szCs w:val="22"/>
        </w:rPr>
        <w:t>UW System:</w:t>
      </w:r>
      <w:r w:rsidR="00A80D21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3" w:history="1">
        <w:r w:rsidR="00A80D21" w:rsidRPr="00A80D21">
          <w:rPr>
            <w:rStyle w:val="Hyperlink"/>
            <w:rFonts w:ascii="Calibri" w:hAnsi="Calibri" w:cs="Calibri"/>
            <w:sz w:val="22"/>
            <w:szCs w:val="22"/>
          </w:rPr>
          <w:t>SYS 235 Attachment 7: Requirements for Payments to Nonresident Aliens</w:t>
        </w:r>
      </w:hyperlink>
      <w:r w:rsidR="00A80D21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14" w:history="1">
        <w:r w:rsidR="003C640B" w:rsidRPr="003C640B">
          <w:rPr>
            <w:rStyle w:val="Hyperlink"/>
            <w:rFonts w:ascii="Calibri" w:hAnsi="Calibri" w:cs="Calibri"/>
            <w:sz w:val="22"/>
            <w:szCs w:val="22"/>
          </w:rPr>
          <w:t>UW System Administrative Policy 237: Utilization of Borrowed Employees/Employee Interchange Agreements</w:t>
        </w:r>
      </w:hyperlink>
      <w:r w:rsidR="00533E7E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15" w:history="1">
        <w:r w:rsidR="00AC5F8D" w:rsidRPr="00AC5F8D">
          <w:rPr>
            <w:rStyle w:val="Hyperlink"/>
            <w:rFonts w:ascii="Calibri" w:hAnsi="Calibri" w:cs="Calibri"/>
            <w:sz w:val="22"/>
            <w:szCs w:val="22"/>
          </w:rPr>
          <w:t>UW System Administrative Policy 405: Travel and Expense- General Travel and Expense Policy</w:t>
        </w:r>
      </w:hyperlink>
    </w:p>
    <w:p w14:paraId="7521AFD5" w14:textId="6077CDE8" w:rsidR="00955793" w:rsidRPr="00955793" w:rsidRDefault="00955793" w:rsidP="00955793">
      <w:pPr>
        <w:spacing w:after="0"/>
        <w:rPr>
          <w:rFonts w:ascii="Calibri" w:hAnsi="Calibri" w:cs="Calibri"/>
        </w:rPr>
      </w:pPr>
      <w:r w:rsidRPr="00955793">
        <w:rPr>
          <w:rFonts w:ascii="Calibri" w:hAnsi="Calibri" w:cs="Calibri"/>
        </w:rPr>
        <w:t>Wisconsin State Statutes:</w:t>
      </w:r>
      <w:r w:rsidR="00A5093A">
        <w:rPr>
          <w:rFonts w:ascii="Calibri" w:hAnsi="Calibri" w:cs="Calibri"/>
        </w:rPr>
        <w:t xml:space="preserve"> </w:t>
      </w:r>
      <w:hyperlink r:id="rId16" w:history="1">
        <w:r w:rsidR="004817AE" w:rsidRPr="004817AE">
          <w:rPr>
            <w:rStyle w:val="Hyperlink"/>
            <w:rFonts w:ascii="Calibri" w:hAnsi="Calibri" w:cs="Calibri"/>
          </w:rPr>
          <w:t>WI § 36.11(56)</w:t>
        </w:r>
      </w:hyperlink>
      <w:r w:rsidR="004817AE">
        <w:rPr>
          <w:rFonts w:ascii="Calibri" w:hAnsi="Calibri" w:cs="Calibri"/>
        </w:rPr>
        <w:t xml:space="preserve">, </w:t>
      </w:r>
      <w:hyperlink r:id="rId17" w:history="1">
        <w:r w:rsidR="00E534B1" w:rsidRPr="00E534B1">
          <w:rPr>
            <w:rStyle w:val="Hyperlink"/>
            <w:rFonts w:ascii="Calibri" w:hAnsi="Calibri" w:cs="Calibri"/>
          </w:rPr>
          <w:t>WI § 230.047</w:t>
        </w:r>
      </w:hyperlink>
    </w:p>
    <w:p w14:paraId="28637ECF" w14:textId="77777777" w:rsidR="00955793" w:rsidRPr="00955793" w:rsidRDefault="00955793" w:rsidP="00955793">
      <w:pPr>
        <w:spacing w:after="0"/>
      </w:pPr>
    </w:p>
    <w:p w14:paraId="0C048B91" w14:textId="77777777" w:rsidR="00610F5B" w:rsidRPr="00610F5B" w:rsidRDefault="00610F5B" w:rsidP="000C654E">
      <w:pPr>
        <w:pStyle w:val="Heading2"/>
        <w:spacing w:before="0"/>
        <w:jc w:val="both"/>
        <w:rPr>
          <w:rFonts w:asciiTheme="minorHAnsi" w:hAnsiTheme="minorHAnsi" w:cstheme="minorHAnsi"/>
        </w:rPr>
      </w:pPr>
      <w:r w:rsidRPr="00610F5B">
        <w:rPr>
          <w:rFonts w:asciiTheme="minorHAnsi" w:hAnsiTheme="minorHAnsi" w:cstheme="minorHAnsi"/>
        </w:rPr>
        <w:t>Objective:</w:t>
      </w:r>
    </w:p>
    <w:p w14:paraId="256AEE47" w14:textId="38A19BBF" w:rsidR="00E51DFB" w:rsidRPr="000E0781" w:rsidRDefault="00E51DFB" w:rsidP="00E51DF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0E0781">
        <w:rPr>
          <w:rFonts w:asciiTheme="minorHAnsi" w:hAnsiTheme="minorHAnsi" w:cstheme="minorHAnsi"/>
        </w:rPr>
        <w:t>t is the policy of the University of Wisconsin-Whitewater to pursue its mission in teaching, research, and service in a manner that enables the University to claim the benefit of public domain or fundamental research exemptions from federal export regulations whenever possible, while at all times complying with such regulations</w:t>
      </w:r>
      <w:r w:rsidR="009B7758">
        <w:rPr>
          <w:rFonts w:asciiTheme="minorHAnsi" w:hAnsiTheme="minorHAnsi" w:cstheme="minorHAnsi"/>
        </w:rPr>
        <w:t>.</w:t>
      </w:r>
    </w:p>
    <w:p w14:paraId="1243E0E7" w14:textId="77777777" w:rsidR="00B257E3" w:rsidRPr="00B257E3" w:rsidRDefault="00B257E3" w:rsidP="000C654E">
      <w:pPr>
        <w:spacing w:after="0"/>
        <w:jc w:val="both"/>
        <w:rPr>
          <w:rFonts w:asciiTheme="minorHAnsi" w:hAnsiTheme="minorHAnsi" w:cstheme="minorHAnsi"/>
        </w:rPr>
      </w:pPr>
    </w:p>
    <w:p w14:paraId="5117BFDB" w14:textId="77777777" w:rsidR="00610F5B" w:rsidRPr="00610F5B" w:rsidRDefault="00610F5B" w:rsidP="000C654E">
      <w:pPr>
        <w:pStyle w:val="Heading2"/>
        <w:spacing w:before="0" w:line="240" w:lineRule="auto"/>
        <w:jc w:val="both"/>
        <w:rPr>
          <w:rFonts w:asciiTheme="minorHAnsi" w:hAnsiTheme="minorHAnsi" w:cstheme="minorHAnsi"/>
        </w:rPr>
      </w:pPr>
      <w:r w:rsidRPr="00610F5B">
        <w:rPr>
          <w:rFonts w:asciiTheme="minorHAnsi" w:hAnsiTheme="minorHAnsi" w:cstheme="minorHAnsi"/>
        </w:rPr>
        <w:t>Statement:</w:t>
      </w:r>
    </w:p>
    <w:p w14:paraId="17280868" w14:textId="77777777" w:rsidR="00E51DFB" w:rsidRDefault="00E51DFB" w:rsidP="00E51DF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Practice Directive will cover the </w:t>
      </w:r>
      <w:r w:rsidRPr="009E13F3">
        <w:rPr>
          <w:rFonts w:asciiTheme="minorHAnsi" w:hAnsiTheme="minorHAnsi" w:cstheme="minorHAnsi"/>
        </w:rPr>
        <w:t>University of Wisconsin Whitewater</w:t>
      </w:r>
      <w:r>
        <w:rPr>
          <w:rFonts w:asciiTheme="minorHAnsi" w:hAnsiTheme="minorHAnsi" w:cstheme="minorHAnsi"/>
        </w:rPr>
        <w:t>’s policy on export controls and how the university seeks to comply with all the federal rules and regulations, while supporting our student and faculty-led research.</w:t>
      </w:r>
    </w:p>
    <w:p w14:paraId="75D73B12" w14:textId="77777777" w:rsidR="0007355D" w:rsidRDefault="0007355D" w:rsidP="000C654E">
      <w:pPr>
        <w:pStyle w:val="Heading2"/>
        <w:spacing w:before="0"/>
        <w:jc w:val="both"/>
        <w:rPr>
          <w:rFonts w:asciiTheme="minorHAnsi" w:hAnsiTheme="minorHAnsi" w:cstheme="minorHAnsi"/>
        </w:rPr>
      </w:pPr>
    </w:p>
    <w:p w14:paraId="5D0211B5" w14:textId="77777777" w:rsidR="00610F5B" w:rsidRPr="00610F5B" w:rsidRDefault="00955793" w:rsidP="000C654E">
      <w:pPr>
        <w:pStyle w:val="Heading2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Procedures</w:t>
      </w:r>
      <w:r w:rsidR="00610F5B" w:rsidRPr="00610F5B">
        <w:rPr>
          <w:rFonts w:asciiTheme="minorHAnsi" w:hAnsiTheme="minorHAnsi" w:cstheme="minorHAnsi"/>
        </w:rPr>
        <w:t>:</w:t>
      </w:r>
    </w:p>
    <w:p w14:paraId="336E2372" w14:textId="77777777" w:rsidR="00EB0F8B" w:rsidRDefault="00D6163F" w:rsidP="000C654E">
      <w:pPr>
        <w:spacing w:after="0"/>
        <w:jc w:val="both"/>
        <w:rPr>
          <w:rFonts w:asciiTheme="minorHAnsi" w:hAnsiTheme="minorHAnsi" w:cstheme="minorHAnsi"/>
        </w:rPr>
      </w:pPr>
      <w:hyperlink r:id="rId18" w:history="1">
        <w:r w:rsidR="009E13F3" w:rsidRPr="009E13F3">
          <w:rPr>
            <w:rStyle w:val="Hyperlink"/>
            <w:rFonts w:asciiTheme="minorHAnsi" w:hAnsiTheme="minorHAnsi" w:cstheme="minorHAnsi"/>
          </w:rPr>
          <w:t>Export Contr</w:t>
        </w:r>
        <w:bookmarkStart w:id="0" w:name="_GoBack"/>
        <w:bookmarkEnd w:id="0"/>
        <w:r w:rsidR="009E13F3" w:rsidRPr="009E13F3">
          <w:rPr>
            <w:rStyle w:val="Hyperlink"/>
            <w:rFonts w:asciiTheme="minorHAnsi" w:hAnsiTheme="minorHAnsi" w:cstheme="minorHAnsi"/>
          </w:rPr>
          <w:t>o</w:t>
        </w:r>
        <w:r w:rsidR="009E13F3" w:rsidRPr="009E13F3">
          <w:rPr>
            <w:rStyle w:val="Hyperlink"/>
            <w:rFonts w:asciiTheme="minorHAnsi" w:hAnsiTheme="minorHAnsi" w:cstheme="minorHAnsi"/>
          </w:rPr>
          <w:t>l</w:t>
        </w:r>
      </w:hyperlink>
      <w:r w:rsidR="00955793">
        <w:rPr>
          <w:rStyle w:val="Hyperlink"/>
          <w:rFonts w:asciiTheme="minorHAnsi" w:hAnsiTheme="minorHAnsi" w:cstheme="minorHAnsi"/>
        </w:rPr>
        <w:t xml:space="preserve"> Practice Directive</w:t>
      </w:r>
    </w:p>
    <w:p w14:paraId="2352AC53" w14:textId="77777777" w:rsidR="00B257E3" w:rsidRPr="00610F5B" w:rsidRDefault="00B257E3" w:rsidP="000C654E">
      <w:pPr>
        <w:spacing w:after="0"/>
        <w:jc w:val="both"/>
        <w:rPr>
          <w:rStyle w:val="Hyperlink"/>
          <w:rFonts w:asciiTheme="minorHAnsi" w:hAnsiTheme="minorHAnsi" w:cstheme="minorHAnsi"/>
        </w:rPr>
      </w:pPr>
    </w:p>
    <w:p w14:paraId="35A9B2D0" w14:textId="77777777" w:rsidR="00610F5B" w:rsidRPr="00610F5B" w:rsidRDefault="00610F5B" w:rsidP="000C654E">
      <w:pPr>
        <w:pStyle w:val="Heading2"/>
        <w:spacing w:before="0" w:line="240" w:lineRule="auto"/>
        <w:jc w:val="both"/>
        <w:rPr>
          <w:rFonts w:asciiTheme="minorHAnsi" w:hAnsiTheme="minorHAnsi" w:cstheme="minorHAnsi"/>
        </w:rPr>
      </w:pPr>
      <w:r w:rsidRPr="00610F5B">
        <w:rPr>
          <w:rFonts w:asciiTheme="minorHAnsi" w:hAnsiTheme="minorHAnsi" w:cstheme="minorHAnsi"/>
        </w:rPr>
        <w:lastRenderedPageBreak/>
        <w:t>Searchable Words:</w:t>
      </w:r>
    </w:p>
    <w:p w14:paraId="4A3D940D" w14:textId="463A87DE" w:rsidR="00610F5B" w:rsidRPr="00610F5B" w:rsidRDefault="009E13F3" w:rsidP="000C65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Export Control, Exports</w:t>
      </w:r>
      <w:r w:rsidR="003D14B7">
        <w:rPr>
          <w:rFonts w:asciiTheme="minorHAnsi" w:hAnsiTheme="minorHAnsi" w:cstheme="minorHAnsi"/>
        </w:rPr>
        <w:t>, Release of Technology, Deemed Export, Export Controls License, Exclusions, Fundamental Research, License, Embargoed Countries</w:t>
      </w:r>
      <w:r w:rsidR="0038787A">
        <w:rPr>
          <w:rFonts w:asciiTheme="minorHAnsi" w:hAnsiTheme="minorHAnsi" w:cstheme="minorHAnsi"/>
        </w:rPr>
        <w:t xml:space="preserve">. </w:t>
      </w:r>
    </w:p>
    <w:sectPr w:rsidR="00610F5B" w:rsidRPr="00610F5B" w:rsidSect="00E40CA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2AB5" w14:textId="77777777" w:rsidR="000C0EC6" w:rsidRDefault="000C0EC6" w:rsidP="000E2CC9">
      <w:pPr>
        <w:spacing w:after="0" w:line="240" w:lineRule="auto"/>
      </w:pPr>
      <w:r>
        <w:separator/>
      </w:r>
    </w:p>
  </w:endnote>
  <w:endnote w:type="continuationSeparator" w:id="0">
    <w:p w14:paraId="24FD5BDE" w14:textId="77777777" w:rsidR="000C0EC6" w:rsidRDefault="000C0EC6" w:rsidP="000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BC88" w14:textId="77777777" w:rsidR="007E5FFC" w:rsidRDefault="007E5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42436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12582148" w14:textId="77777777" w:rsidR="001F1770" w:rsidRPr="001F1770" w:rsidRDefault="001F1770">
        <w:pPr>
          <w:pStyle w:val="Footer"/>
          <w:jc w:val="right"/>
          <w:rPr>
            <w:rFonts w:ascii="Calibri" w:hAnsi="Calibri" w:cs="Calibri"/>
          </w:rPr>
        </w:pPr>
        <w:r w:rsidRPr="001F1770">
          <w:rPr>
            <w:rFonts w:ascii="Calibri" w:hAnsi="Calibri" w:cs="Calibri"/>
          </w:rPr>
          <w:fldChar w:fldCharType="begin"/>
        </w:r>
        <w:r w:rsidRPr="001F1770">
          <w:rPr>
            <w:rFonts w:ascii="Calibri" w:hAnsi="Calibri" w:cs="Calibri"/>
          </w:rPr>
          <w:instrText xml:space="preserve"> PAGE   \* MERGEFORMAT </w:instrText>
        </w:r>
        <w:r w:rsidRPr="001F1770">
          <w:rPr>
            <w:rFonts w:ascii="Calibri" w:hAnsi="Calibri" w:cs="Calibri"/>
          </w:rPr>
          <w:fldChar w:fldCharType="separate"/>
        </w:r>
        <w:r w:rsidR="00955793">
          <w:rPr>
            <w:rFonts w:ascii="Calibri" w:hAnsi="Calibri" w:cs="Calibri"/>
            <w:noProof/>
          </w:rPr>
          <w:t>1</w:t>
        </w:r>
        <w:r w:rsidRPr="001F1770">
          <w:rPr>
            <w:rFonts w:ascii="Calibri" w:hAnsi="Calibri" w:cs="Calibri"/>
            <w:noProof/>
          </w:rPr>
          <w:fldChar w:fldCharType="end"/>
        </w:r>
      </w:p>
    </w:sdtContent>
  </w:sdt>
  <w:p w14:paraId="5A017576" w14:textId="77777777" w:rsidR="000E2CC9" w:rsidRDefault="000E2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8E7F" w14:textId="77777777" w:rsidR="007E5FFC" w:rsidRDefault="007E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A999" w14:textId="77777777" w:rsidR="000C0EC6" w:rsidRDefault="000C0EC6" w:rsidP="000E2CC9">
      <w:pPr>
        <w:spacing w:after="0" w:line="240" w:lineRule="auto"/>
      </w:pPr>
      <w:r>
        <w:separator/>
      </w:r>
    </w:p>
  </w:footnote>
  <w:footnote w:type="continuationSeparator" w:id="0">
    <w:p w14:paraId="2F610038" w14:textId="77777777" w:rsidR="000C0EC6" w:rsidRDefault="000C0EC6" w:rsidP="000E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71D3" w14:textId="77777777" w:rsidR="007E5FFC" w:rsidRDefault="007E5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A0F4" w14:textId="3D92B36D" w:rsidR="007E5FFC" w:rsidRDefault="007E5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E59E" w14:textId="77777777" w:rsidR="007E5FFC" w:rsidRDefault="007E5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BA6"/>
    <w:multiLevelType w:val="hybridMultilevel"/>
    <w:tmpl w:val="FDA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572D"/>
    <w:multiLevelType w:val="hybridMultilevel"/>
    <w:tmpl w:val="546C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4BDA"/>
    <w:multiLevelType w:val="hybridMultilevel"/>
    <w:tmpl w:val="3C4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3D8"/>
    <w:multiLevelType w:val="hybridMultilevel"/>
    <w:tmpl w:val="7CE4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98"/>
    <w:rsid w:val="0001074F"/>
    <w:rsid w:val="00020121"/>
    <w:rsid w:val="00041A7C"/>
    <w:rsid w:val="000422AC"/>
    <w:rsid w:val="00063AB3"/>
    <w:rsid w:val="0006677F"/>
    <w:rsid w:val="0007355D"/>
    <w:rsid w:val="000B4719"/>
    <w:rsid w:val="000C08B0"/>
    <w:rsid w:val="000C0EC6"/>
    <w:rsid w:val="000C38F8"/>
    <w:rsid w:val="000C654E"/>
    <w:rsid w:val="000E0781"/>
    <w:rsid w:val="000E0CB1"/>
    <w:rsid w:val="000E2CC9"/>
    <w:rsid w:val="00111313"/>
    <w:rsid w:val="001205A5"/>
    <w:rsid w:val="00171848"/>
    <w:rsid w:val="001919B9"/>
    <w:rsid w:val="001A1D0E"/>
    <w:rsid w:val="001A240B"/>
    <w:rsid w:val="001C02EB"/>
    <w:rsid w:val="001F1770"/>
    <w:rsid w:val="001F3FAA"/>
    <w:rsid w:val="00201DCE"/>
    <w:rsid w:val="00203C8C"/>
    <w:rsid w:val="002177B2"/>
    <w:rsid w:val="002405D3"/>
    <w:rsid w:val="00260CA6"/>
    <w:rsid w:val="002D6CC2"/>
    <w:rsid w:val="002F288D"/>
    <w:rsid w:val="00314FFD"/>
    <w:rsid w:val="003171AB"/>
    <w:rsid w:val="00354342"/>
    <w:rsid w:val="00383CBD"/>
    <w:rsid w:val="0038787A"/>
    <w:rsid w:val="003A589E"/>
    <w:rsid w:val="003B55A2"/>
    <w:rsid w:val="003C640B"/>
    <w:rsid w:val="003D14B7"/>
    <w:rsid w:val="003D6AC9"/>
    <w:rsid w:val="003E6242"/>
    <w:rsid w:val="003F01D4"/>
    <w:rsid w:val="003F4C00"/>
    <w:rsid w:val="00413CE0"/>
    <w:rsid w:val="00416394"/>
    <w:rsid w:val="00435F68"/>
    <w:rsid w:val="00443AC0"/>
    <w:rsid w:val="00471E40"/>
    <w:rsid w:val="004817AE"/>
    <w:rsid w:val="004946AE"/>
    <w:rsid w:val="00533E7E"/>
    <w:rsid w:val="00535D3E"/>
    <w:rsid w:val="00542CE9"/>
    <w:rsid w:val="00545F91"/>
    <w:rsid w:val="00553699"/>
    <w:rsid w:val="00565100"/>
    <w:rsid w:val="00574983"/>
    <w:rsid w:val="00582597"/>
    <w:rsid w:val="005A6A98"/>
    <w:rsid w:val="005C1BC5"/>
    <w:rsid w:val="005D5008"/>
    <w:rsid w:val="005D6B03"/>
    <w:rsid w:val="005E15DC"/>
    <w:rsid w:val="0060573D"/>
    <w:rsid w:val="00610F5B"/>
    <w:rsid w:val="00612179"/>
    <w:rsid w:val="00627A15"/>
    <w:rsid w:val="00647765"/>
    <w:rsid w:val="00672EBE"/>
    <w:rsid w:val="006856E3"/>
    <w:rsid w:val="006967FA"/>
    <w:rsid w:val="006A1532"/>
    <w:rsid w:val="006B6EBF"/>
    <w:rsid w:val="006D5642"/>
    <w:rsid w:val="006D71B0"/>
    <w:rsid w:val="00711A25"/>
    <w:rsid w:val="00711B61"/>
    <w:rsid w:val="00783EE4"/>
    <w:rsid w:val="00787137"/>
    <w:rsid w:val="00795D2C"/>
    <w:rsid w:val="007A68A2"/>
    <w:rsid w:val="007C7369"/>
    <w:rsid w:val="007E27B7"/>
    <w:rsid w:val="007E5FFC"/>
    <w:rsid w:val="007E77B7"/>
    <w:rsid w:val="007F581E"/>
    <w:rsid w:val="00816CF9"/>
    <w:rsid w:val="008224D4"/>
    <w:rsid w:val="00824ED6"/>
    <w:rsid w:val="008565CC"/>
    <w:rsid w:val="008877C9"/>
    <w:rsid w:val="008B1D4F"/>
    <w:rsid w:val="008B30B6"/>
    <w:rsid w:val="008C109F"/>
    <w:rsid w:val="008C3565"/>
    <w:rsid w:val="008C3977"/>
    <w:rsid w:val="008C3C36"/>
    <w:rsid w:val="008E21D5"/>
    <w:rsid w:val="00903684"/>
    <w:rsid w:val="00917FB9"/>
    <w:rsid w:val="00920972"/>
    <w:rsid w:val="0094413F"/>
    <w:rsid w:val="00944E61"/>
    <w:rsid w:val="0094684C"/>
    <w:rsid w:val="00955793"/>
    <w:rsid w:val="009644CB"/>
    <w:rsid w:val="009646EE"/>
    <w:rsid w:val="0096640E"/>
    <w:rsid w:val="0097633D"/>
    <w:rsid w:val="00984C91"/>
    <w:rsid w:val="009930BE"/>
    <w:rsid w:val="009B0D6E"/>
    <w:rsid w:val="009B1B18"/>
    <w:rsid w:val="009B7758"/>
    <w:rsid w:val="009C74DE"/>
    <w:rsid w:val="009D0B25"/>
    <w:rsid w:val="009D24ED"/>
    <w:rsid w:val="009D54BC"/>
    <w:rsid w:val="009E0E41"/>
    <w:rsid w:val="009E13F3"/>
    <w:rsid w:val="00A5093A"/>
    <w:rsid w:val="00A51E74"/>
    <w:rsid w:val="00A66D4D"/>
    <w:rsid w:val="00A66E2B"/>
    <w:rsid w:val="00A672AC"/>
    <w:rsid w:val="00A80D21"/>
    <w:rsid w:val="00A90A0D"/>
    <w:rsid w:val="00AC5F8D"/>
    <w:rsid w:val="00AD7E60"/>
    <w:rsid w:val="00AF7DDA"/>
    <w:rsid w:val="00B14207"/>
    <w:rsid w:val="00B257E3"/>
    <w:rsid w:val="00B35472"/>
    <w:rsid w:val="00B634B8"/>
    <w:rsid w:val="00B67EDF"/>
    <w:rsid w:val="00B76B6D"/>
    <w:rsid w:val="00B773B9"/>
    <w:rsid w:val="00B9102F"/>
    <w:rsid w:val="00B967EC"/>
    <w:rsid w:val="00BD3616"/>
    <w:rsid w:val="00C07DC2"/>
    <w:rsid w:val="00C15380"/>
    <w:rsid w:val="00C23AEC"/>
    <w:rsid w:val="00C32439"/>
    <w:rsid w:val="00C50385"/>
    <w:rsid w:val="00C57E72"/>
    <w:rsid w:val="00C84276"/>
    <w:rsid w:val="00CA62D0"/>
    <w:rsid w:val="00CB241B"/>
    <w:rsid w:val="00CD1BF5"/>
    <w:rsid w:val="00D123F9"/>
    <w:rsid w:val="00D124FF"/>
    <w:rsid w:val="00D12668"/>
    <w:rsid w:val="00D47A6F"/>
    <w:rsid w:val="00D6163F"/>
    <w:rsid w:val="00D71432"/>
    <w:rsid w:val="00D75B0E"/>
    <w:rsid w:val="00D77951"/>
    <w:rsid w:val="00D82375"/>
    <w:rsid w:val="00DB7A89"/>
    <w:rsid w:val="00DD2C0B"/>
    <w:rsid w:val="00DD5151"/>
    <w:rsid w:val="00DF10CD"/>
    <w:rsid w:val="00DF30FA"/>
    <w:rsid w:val="00E03E4D"/>
    <w:rsid w:val="00E12E92"/>
    <w:rsid w:val="00E153C3"/>
    <w:rsid w:val="00E21673"/>
    <w:rsid w:val="00E22E65"/>
    <w:rsid w:val="00E40CAF"/>
    <w:rsid w:val="00E51DFB"/>
    <w:rsid w:val="00E534B1"/>
    <w:rsid w:val="00E74A42"/>
    <w:rsid w:val="00E81E4D"/>
    <w:rsid w:val="00E85776"/>
    <w:rsid w:val="00EA51A6"/>
    <w:rsid w:val="00EB0F8B"/>
    <w:rsid w:val="00ED0398"/>
    <w:rsid w:val="00ED7163"/>
    <w:rsid w:val="00EE0639"/>
    <w:rsid w:val="00EE21CC"/>
    <w:rsid w:val="00EE42A8"/>
    <w:rsid w:val="00EE5C74"/>
    <w:rsid w:val="00F13B46"/>
    <w:rsid w:val="00F5391D"/>
    <w:rsid w:val="00F74628"/>
    <w:rsid w:val="00FC617D"/>
    <w:rsid w:val="00FD641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F48FA"/>
  <w15:chartTrackingRefBased/>
  <w15:docId w15:val="{DDCA82BE-0357-4358-B18A-E7045B1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84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4B8"/>
    <w:pPr>
      <w:keepNext/>
      <w:keepLines/>
      <w:spacing w:before="240" w:after="0"/>
      <w:outlineLvl w:val="0"/>
    </w:pPr>
    <w:rPr>
      <w:rFonts w:eastAsiaTheme="majorEastAsia" w:cstheme="majorBidi"/>
      <w:b/>
      <w:color w:val="3A14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4B8"/>
    <w:pPr>
      <w:keepNext/>
      <w:keepLines/>
      <w:spacing w:before="40" w:after="0"/>
      <w:outlineLvl w:val="1"/>
    </w:pPr>
    <w:rPr>
      <w:rFonts w:eastAsiaTheme="majorEastAsia" w:cstheme="majorBidi"/>
      <w:color w:val="3A14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6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34B8"/>
    <w:rPr>
      <w:rFonts w:ascii="Times New Roman" w:eastAsiaTheme="majorEastAsia" w:hAnsi="Times New Roman" w:cstheme="majorBidi"/>
      <w:b/>
      <w:color w:val="3A14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4B8"/>
    <w:rPr>
      <w:rFonts w:ascii="Times New Roman" w:eastAsiaTheme="majorEastAsia" w:hAnsi="Times New Roman" w:cstheme="majorBidi"/>
      <w:color w:val="3A14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68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B7A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F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C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C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20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93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doc.gov/index.php/forms-documents/regulations-docs/428-part-760-restrictive-trade-practices-or-boycotts" TargetMode="External"/><Relationship Id="rId13" Type="http://schemas.openxmlformats.org/officeDocument/2006/relationships/hyperlink" Target="https://www.wisconsin.edu/uw-policies/235-attachment-7-requirements-for-payments-to-nonresident-aliens/" TargetMode="External"/><Relationship Id="rId18" Type="http://schemas.openxmlformats.org/officeDocument/2006/relationships/hyperlink" Target="https://www.uww.edu/adminaffairs/compliance/practice-directives-and-procedur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pmddtc.state.gov/regulations_laws/documents/official_itar/2013/ITAR_Part_121.pdf" TargetMode="External"/><Relationship Id="rId17" Type="http://schemas.openxmlformats.org/officeDocument/2006/relationships/hyperlink" Target="https://docs.legis.wisconsin.gov/statutes/statutes/230/I/0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statutes/statutes/36/11/5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me.treasury.gov/policy-issues/office-of-foreign-assets-control-sanctions-programs-and-informatio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wisconsin.edu/uw-policies/uw-system-administrative-policies/travel-and-expense-general-travel-expense-policy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is.doc.gov/index.php/regulations/export-administration-regulations-ea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s.doc.gov/index.php/policy-guidance/lists-of-parties-of-concern/entity-list" TargetMode="External"/><Relationship Id="rId14" Type="http://schemas.openxmlformats.org/officeDocument/2006/relationships/hyperlink" Target="https://www.wisconsin.edu/uw-policies/uw-system-administrative-policies/utilization-of-borrowed-employees-employee-interchange-agreement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Joseph Heitman</dc:creator>
  <cp:keywords/>
  <dc:description/>
  <cp:lastModifiedBy> </cp:lastModifiedBy>
  <cp:revision>3</cp:revision>
  <cp:lastPrinted>2014-08-01T21:22:00Z</cp:lastPrinted>
  <dcterms:created xsi:type="dcterms:W3CDTF">2021-05-19T20:04:00Z</dcterms:created>
  <dcterms:modified xsi:type="dcterms:W3CDTF">2021-06-04T17:23:00Z</dcterms:modified>
</cp:coreProperties>
</file>